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版本号：SZT2025-SN-QC-ZC-FW-039820250526001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2025年雁塔区政府网站及政务新媒体运维监测服务项目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SZT2025-SN-QC-ZC-FW-0398</w:t>
      </w:r>
      <w:r>
        <w:br/>
      </w:r>
      <w:r>
        <w:br/>
      </w:r>
      <w:r>
        <w:br/>
      </w:r>
    </w:p>
    <w:p>
      <w:pPr>
        <w:pStyle w:val="null3"/>
        <w:jc w:val="center"/>
        <w:outlineLvl w:val="2"/>
      </w:pPr>
      <w:r>
        <w:rPr>
          <w:rFonts w:ascii="仿宋_GB2312" w:hAnsi="仿宋_GB2312" w:cs="仿宋_GB2312" w:eastAsia="仿宋_GB2312"/>
          <w:sz w:val="28"/>
          <w:b/>
        </w:rPr>
        <w:t>西安市雁塔区人民政府办公室</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西安市雁塔区人民政府办公室</w:t>
      </w:r>
      <w:r>
        <w:rPr>
          <w:rFonts w:ascii="仿宋_GB2312" w:hAnsi="仿宋_GB2312" w:cs="仿宋_GB2312" w:eastAsia="仿宋_GB2312"/>
        </w:rPr>
        <w:t>委托，拟对</w:t>
      </w:r>
      <w:r>
        <w:rPr>
          <w:rFonts w:ascii="仿宋_GB2312" w:hAnsi="仿宋_GB2312" w:cs="仿宋_GB2312" w:eastAsia="仿宋_GB2312"/>
        </w:rPr>
        <w:t>2025年雁塔区政府网站及政务新媒体运维监测服务项目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SZT2025-SN-QC-ZC-FW-0398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2025年雁塔区政府网站及政务新媒体运维监测服务项目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切实做好新时代政务公开工作，加强政策解读、政民互动、平台建设等工作，持续推进基层政务公开标准化规范化建设，有效防范政务公开风险，根据《西安市政府网站集约化平台管理办法》《西安市人民政府办公厅关于进一步规范政务新媒体管理工作的通知》（市政办函〔2019〕163号）以及中省市政务公开检查与考核要求，为了保障雁塔区政府门户网站安全平稳运行和自管政务新媒体的健康有序发展，现聘请第三方专业机构开展区政府网站及政务新媒体的日常运维及监测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采购包1（2025年雁塔区政府网站及政务新媒体运维监测服务项目）：属于专门面向小微企业采购。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2、不接受联合体磋商：不接受联合体磋商（提供相应承诺）；供应商需在项目电子化交易系统中按要求上传相应证明文件并进行电子签章。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张家豪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029-85382240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029-88364979转827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收取参照国家计委关于印发《招标代理服务收费管理暂行办法》（计价格[2002]1980号）的通知和《国家发改委关于降低部分建设项目收费标准规范收费行为等有关问题的通知》（发改价格〔2011〕534号）的有关规定，按服务类收费标准收取。2、中标/成交单位在领取成交通知书前，须向采购代理机构一次性支付招标代理服务费。招标代理服务费缴存账户： 开户名称：陕西中技招标有限公司 开户行名称：招商银行西安分行营业部 账号：1299 1681 2810 001 转账事由/备注：(编号后四位）项目招标代理服务费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西安市雁塔区人民政府办公室</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西安市雁塔区人民政府办公室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详见磋商文件服务内容及合同条款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联系电话：029-88364979转856</w:t>
      </w:r>
    </w:p>
    <w:p>
      <w:pPr>
        <w:pStyle w:val="null3"/>
      </w:pPr>
      <w:r>
        <w:rPr>
          <w:rFonts w:ascii="仿宋_GB2312" w:hAnsi="仿宋_GB2312" w:cs="仿宋_GB2312" w:eastAsia="仿宋_GB2312"/>
        </w:rPr>
        <w:t>地址：西安市高新区高新四路1号高科广场A座10楼1001室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切实做好新时代政务公开工作，加强政策解读、政民互动、平台建设等工作，持续推进基层政务公开标准化规范化建设，有效防范政务公开风险，根据《西安市政府网站集约化平台管理办法》《西安市人民政府办公厅关于进一步规范政务新媒体管理工作的通知》（市政办函〔2019〕163号）以及中省市政务公开检查与考核要求，为了保障雁塔区政府门户网站安全平稳运行和自管政务新媒体的健康有序发展，现聘请第三方专业机构开展区政府网站及政务新媒体的日常运维及监测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软件运维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标的名称：软件运维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150"/>
              <w:ind w:left="705"/>
              <w:jc w:val="left"/>
              <w:outlineLvl w:val="0"/>
            </w:pPr>
            <w:r>
              <w:rPr>
                <w:rFonts w:ascii="仿宋_GB2312" w:hAnsi="仿宋_GB2312" w:cs="仿宋_GB2312" w:eastAsia="仿宋_GB2312"/>
                <w:sz w:val="44"/>
                <w:b/>
              </w:rPr>
              <w:t>1</w:t>
            </w:r>
            <w:r>
              <w:rPr>
                <w:rFonts w:ascii="仿宋_GB2312" w:hAnsi="仿宋_GB2312" w:cs="仿宋_GB2312" w:eastAsia="仿宋_GB2312"/>
                <w:sz w:val="44"/>
                <w:b/>
              </w:rPr>
              <w:t>服务内容及要求</w:t>
            </w:r>
          </w:p>
          <w:p>
            <w:pPr>
              <w:pStyle w:val="null3"/>
              <w:spacing w:before="150" w:after="150"/>
              <w:ind w:left="705"/>
              <w:jc w:val="both"/>
              <w:outlineLvl w:val="1"/>
            </w:pPr>
            <w:r>
              <w:rPr>
                <w:rFonts w:ascii="仿宋_GB2312" w:hAnsi="仿宋_GB2312" w:cs="仿宋_GB2312" w:eastAsia="仿宋_GB2312"/>
                <w:sz w:val="36"/>
                <w:b/>
              </w:rPr>
              <w:t>1.1</w:t>
            </w:r>
            <w:r>
              <w:rPr>
                <w:rFonts w:ascii="仿宋_GB2312" w:hAnsi="仿宋_GB2312" w:cs="仿宋_GB2312" w:eastAsia="仿宋_GB2312"/>
                <w:sz w:val="36"/>
                <w:b/>
              </w:rPr>
              <w:t>项目背景</w:t>
            </w:r>
          </w:p>
          <w:p>
            <w:pPr>
              <w:pStyle w:val="null3"/>
              <w:spacing w:before="105" w:after="105"/>
              <w:ind w:firstLine="480"/>
              <w:jc w:val="both"/>
            </w:pPr>
            <w:r>
              <w:rPr>
                <w:rFonts w:ascii="仿宋_GB2312" w:hAnsi="仿宋_GB2312" w:cs="仿宋_GB2312" w:eastAsia="仿宋_GB2312"/>
                <w:sz w:val="24"/>
              </w:rPr>
              <w:t>为切实做好新时代政务公开工作，加强政策解读、政民互动、平台建设等工作，持续推进基层政务公开标准化规范化建设，有效防范政务公开风险，根据《西安市政府网站集约化平台管理办法》《西安市人民政府办公厅关于进一步规范政务新媒体管理工作的通知》（市政办函〔</w:t>
            </w:r>
            <w:r>
              <w:rPr>
                <w:rFonts w:ascii="仿宋_GB2312" w:hAnsi="仿宋_GB2312" w:cs="仿宋_GB2312" w:eastAsia="仿宋_GB2312"/>
                <w:sz w:val="24"/>
              </w:rPr>
              <w:t>2019〕163号）以及中省市政务公开检查与考核要求，为了保障雁塔区政府门户网站安全平稳运行和自管政务新媒体的健康有序发展，现聘请第三方专业机构开展区政府网站及政务新媒体的日常运维及监测服务工作。</w:t>
            </w:r>
          </w:p>
          <w:p>
            <w:pPr>
              <w:pStyle w:val="null3"/>
              <w:spacing w:before="150" w:after="150"/>
              <w:jc w:val="both"/>
              <w:outlineLvl w:val="1"/>
            </w:pPr>
            <w:r>
              <w:rPr>
                <w:rFonts w:ascii="仿宋_GB2312" w:hAnsi="仿宋_GB2312" w:cs="仿宋_GB2312" w:eastAsia="仿宋_GB2312"/>
                <w:sz w:val="36"/>
                <w:b/>
              </w:rPr>
              <w:t>1.2</w:t>
            </w:r>
            <w:r>
              <w:rPr>
                <w:rFonts w:ascii="仿宋_GB2312" w:hAnsi="仿宋_GB2312" w:cs="仿宋_GB2312" w:eastAsia="仿宋_GB2312"/>
                <w:sz w:val="36"/>
                <w:b/>
              </w:rPr>
              <w:t>技术要求</w:t>
            </w:r>
          </w:p>
          <w:p>
            <w:pPr>
              <w:pStyle w:val="null3"/>
              <w:ind w:firstLine="480"/>
              <w:jc w:val="both"/>
            </w:pPr>
            <w:r>
              <w:rPr>
                <w:rFonts w:ascii="仿宋_GB2312" w:hAnsi="仿宋_GB2312" w:cs="仿宋_GB2312" w:eastAsia="仿宋_GB2312"/>
                <w:sz w:val="24"/>
              </w:rPr>
              <w:t>雁塔区政府网站及政务新媒体运维监测服务须</w:t>
            </w:r>
            <w:r>
              <w:rPr>
                <w:rFonts w:ascii="仿宋_GB2312" w:hAnsi="仿宋_GB2312" w:cs="仿宋_GB2312" w:eastAsia="仿宋_GB2312"/>
                <w:sz w:val="24"/>
              </w:rPr>
              <w:t>基于</w:t>
            </w:r>
            <w:r>
              <w:rPr>
                <w:rFonts w:ascii="仿宋_GB2312" w:hAnsi="仿宋_GB2312" w:cs="仿宋_GB2312" w:eastAsia="仿宋_GB2312"/>
                <w:sz w:val="24"/>
              </w:rPr>
              <w:t>“西安市政府网站集约化平台”进行实施，因此需熟悉西安市政府网站集约化平台功能架构、部署实施、开发环境等。</w:t>
            </w:r>
          </w:p>
          <w:p>
            <w:pPr>
              <w:pStyle w:val="null3"/>
              <w:spacing w:before="150" w:after="150"/>
              <w:jc w:val="both"/>
              <w:outlineLvl w:val="1"/>
            </w:pPr>
            <w:r>
              <w:rPr>
                <w:rFonts w:ascii="仿宋_GB2312" w:hAnsi="仿宋_GB2312" w:cs="仿宋_GB2312" w:eastAsia="仿宋_GB2312"/>
                <w:sz w:val="36"/>
                <w:b/>
              </w:rPr>
              <w:t>1.3</w:t>
            </w:r>
            <w:r>
              <w:rPr>
                <w:rFonts w:ascii="仿宋_GB2312" w:hAnsi="仿宋_GB2312" w:cs="仿宋_GB2312" w:eastAsia="仿宋_GB2312"/>
                <w:sz w:val="36"/>
                <w:b/>
              </w:rPr>
              <w:t>服务</w:t>
            </w:r>
            <w:r>
              <w:rPr>
                <w:rFonts w:ascii="仿宋_GB2312" w:hAnsi="仿宋_GB2312" w:cs="仿宋_GB2312" w:eastAsia="仿宋_GB2312"/>
                <w:sz w:val="36"/>
                <w:b/>
              </w:rPr>
              <w:t>内容</w:t>
            </w:r>
            <w:r>
              <w:rPr>
                <w:rFonts w:ascii="仿宋_GB2312" w:hAnsi="仿宋_GB2312" w:cs="仿宋_GB2312" w:eastAsia="仿宋_GB2312"/>
                <w:sz w:val="36"/>
                <w:b/>
              </w:rPr>
              <w:t>及要求</w:t>
            </w:r>
          </w:p>
          <w:p>
            <w:pPr>
              <w:pStyle w:val="null3"/>
              <w:spacing w:before="150" w:after="150"/>
              <w:ind w:left="705"/>
              <w:jc w:val="both"/>
              <w:outlineLvl w:val="2"/>
            </w:pPr>
            <w:r>
              <w:rPr>
                <w:rFonts w:ascii="仿宋_GB2312" w:hAnsi="仿宋_GB2312" w:cs="仿宋_GB2312" w:eastAsia="仿宋_GB2312"/>
                <w:sz w:val="32"/>
                <w:b/>
              </w:rPr>
              <w:t>1.3.1</w:t>
            </w:r>
            <w:r>
              <w:rPr>
                <w:rFonts w:ascii="仿宋_GB2312" w:hAnsi="仿宋_GB2312" w:cs="仿宋_GB2312" w:eastAsia="仿宋_GB2312"/>
                <w:sz w:val="32"/>
                <w:b/>
              </w:rPr>
              <w:t>政务公开建设服务</w:t>
            </w:r>
          </w:p>
          <w:p>
            <w:pPr>
              <w:pStyle w:val="null3"/>
              <w:spacing w:before="150" w:after="150"/>
              <w:ind w:left="705"/>
              <w:jc w:val="both"/>
              <w:outlineLvl w:val="3"/>
            </w:pPr>
            <w:r>
              <w:rPr>
                <w:rFonts w:ascii="仿宋_GB2312" w:hAnsi="仿宋_GB2312" w:cs="仿宋_GB2312" w:eastAsia="仿宋_GB2312"/>
                <w:sz w:val="30"/>
                <w:b/>
              </w:rPr>
              <w:t>1.3.1.1</w:t>
            </w:r>
            <w:r>
              <w:rPr>
                <w:rFonts w:ascii="仿宋_GB2312" w:hAnsi="仿宋_GB2312" w:cs="仿宋_GB2312" w:eastAsia="仿宋_GB2312"/>
                <w:sz w:val="30"/>
                <w:b/>
              </w:rPr>
              <w:t>政策解读服务</w:t>
            </w:r>
          </w:p>
          <w:p>
            <w:pPr>
              <w:pStyle w:val="null3"/>
              <w:ind w:firstLine="480"/>
              <w:jc w:val="both"/>
            </w:pPr>
            <w:r>
              <w:rPr>
                <w:rFonts w:ascii="仿宋_GB2312" w:hAnsi="仿宋_GB2312" w:cs="仿宋_GB2312" w:eastAsia="仿宋_GB2312"/>
                <w:sz w:val="24"/>
              </w:rPr>
              <w:t>对政策文件及解读材料进行梳理、分类、提炼、精简，重新归纳组织，详细介绍政策的背景依据、目标任务、主要内容和解决的问题等，通过数字化、图表图解、音频、视频、动漫等形式，在区政府门户网站予以展现。</w:t>
            </w:r>
          </w:p>
          <w:p>
            <w:pPr>
              <w:pStyle w:val="null3"/>
              <w:numPr>
                <w:ilvl w:val="0"/>
                <w:numId w:val="1"/>
              </w:numPr>
              <w:ind w:left="480"/>
              <w:jc w:val="both"/>
            </w:pPr>
            <w:r>
              <w:rPr>
                <w:rFonts w:ascii="仿宋_GB2312" w:hAnsi="仿宋_GB2312" w:cs="仿宋_GB2312" w:eastAsia="仿宋_GB2312"/>
                <w:sz w:val="24"/>
              </w:rPr>
              <w:t>制作政策图解产品</w:t>
            </w:r>
          </w:p>
          <w:p>
            <w:pPr>
              <w:pStyle w:val="null3"/>
              <w:ind w:firstLine="480"/>
              <w:jc w:val="both"/>
            </w:pPr>
            <w:r>
              <w:rPr>
                <w:rFonts w:ascii="仿宋_GB2312" w:hAnsi="仿宋_GB2312" w:cs="仿宋_GB2312" w:eastAsia="仿宋_GB2312"/>
                <w:sz w:val="24"/>
              </w:rPr>
              <w:t>完成政府政策文件、政府会议、统计数据等重点信息图文解读的设计、制作和发布，全年不少于</w:t>
            </w:r>
            <w:r>
              <w:rPr>
                <w:rFonts w:ascii="仿宋_GB2312" w:hAnsi="仿宋_GB2312" w:cs="仿宋_GB2312" w:eastAsia="仿宋_GB2312"/>
                <w:sz w:val="24"/>
              </w:rPr>
              <w:t>30个。</w:t>
            </w:r>
          </w:p>
          <w:p>
            <w:pPr>
              <w:pStyle w:val="null3"/>
              <w:numPr>
                <w:ilvl w:val="0"/>
                <w:numId w:val="1"/>
              </w:numPr>
              <w:ind w:left="480"/>
              <w:jc w:val="both"/>
            </w:pPr>
            <w:r>
              <w:rPr>
                <w:rFonts w:ascii="仿宋_GB2312" w:hAnsi="仿宋_GB2312" w:cs="仿宋_GB2312" w:eastAsia="仿宋_GB2312"/>
                <w:sz w:val="24"/>
              </w:rPr>
              <w:t>制作动漫视频解读产品</w:t>
            </w:r>
          </w:p>
          <w:p>
            <w:pPr>
              <w:pStyle w:val="null3"/>
              <w:ind w:firstLine="480"/>
              <w:jc w:val="both"/>
            </w:pPr>
            <w:r>
              <w:rPr>
                <w:rFonts w:ascii="仿宋_GB2312" w:hAnsi="仿宋_GB2312" w:cs="仿宋_GB2312" w:eastAsia="仿宋_GB2312"/>
                <w:sz w:val="24"/>
              </w:rPr>
              <w:t>以视频动画的形式（视频时长不少于</w:t>
            </w:r>
            <w:r>
              <w:rPr>
                <w:rFonts w:ascii="仿宋_GB2312" w:hAnsi="仿宋_GB2312" w:cs="仿宋_GB2312" w:eastAsia="仿宋_GB2312"/>
                <w:sz w:val="24"/>
              </w:rPr>
              <w:t>1分钟），将文字、漫画、视频、音乐等多元素结合，融合动画电影与图形设计的语言，基于时间流动而设计的视觉表现形式，深入浅出、通俗易懂地解读政策，全年不少于4个。</w:t>
            </w:r>
          </w:p>
          <w:p>
            <w:pPr>
              <w:pStyle w:val="null3"/>
              <w:spacing w:before="150" w:after="150"/>
              <w:ind w:left="705"/>
              <w:jc w:val="both"/>
              <w:outlineLvl w:val="3"/>
            </w:pPr>
            <w:r>
              <w:rPr>
                <w:rFonts w:ascii="仿宋_GB2312" w:hAnsi="仿宋_GB2312" w:cs="仿宋_GB2312" w:eastAsia="仿宋_GB2312"/>
                <w:sz w:val="30"/>
                <w:b/>
              </w:rPr>
              <w:t>1.3.1.2</w:t>
            </w:r>
            <w:r>
              <w:rPr>
                <w:rFonts w:ascii="仿宋_GB2312" w:hAnsi="仿宋_GB2312" w:cs="仿宋_GB2312" w:eastAsia="仿宋_GB2312"/>
                <w:sz w:val="30"/>
                <w:b/>
              </w:rPr>
              <w:t>对标诊断服务</w:t>
            </w:r>
          </w:p>
          <w:p>
            <w:pPr>
              <w:pStyle w:val="null3"/>
              <w:ind w:firstLine="480"/>
              <w:jc w:val="both"/>
            </w:pPr>
            <w:r>
              <w:rPr>
                <w:rFonts w:ascii="仿宋_GB2312" w:hAnsi="仿宋_GB2312" w:cs="仿宋_GB2312" w:eastAsia="仿宋_GB2312"/>
                <w:sz w:val="24"/>
              </w:rPr>
              <w:t>根据省市政务公开考核评估指标要求，采用人工比对核查、人工统计核算、查阅自评报告、邮件模拟测评等多样化方式，从机制保障、平台建设、公开内容等方面，对全区政务公开工作情况进行全面诊断、对标检查和综合评估，提出每个指标的表现情况，指出存在的问题和不足，形成《对标诊断报告》。同时，安排专人就整改过程遇到的问题进行解答，协助整改落实。</w:t>
            </w:r>
          </w:p>
          <w:p>
            <w:pPr>
              <w:pStyle w:val="null3"/>
              <w:spacing w:before="150" w:after="150"/>
              <w:ind w:left="705"/>
              <w:jc w:val="both"/>
              <w:outlineLvl w:val="3"/>
            </w:pPr>
            <w:r>
              <w:rPr>
                <w:rFonts w:ascii="仿宋_GB2312" w:hAnsi="仿宋_GB2312" w:cs="仿宋_GB2312" w:eastAsia="仿宋_GB2312"/>
                <w:sz w:val="30"/>
                <w:b/>
              </w:rPr>
              <w:t>1.3.1.3</w:t>
            </w:r>
            <w:r>
              <w:rPr>
                <w:rFonts w:ascii="仿宋_GB2312" w:hAnsi="仿宋_GB2312" w:cs="仿宋_GB2312" w:eastAsia="仿宋_GB2312"/>
                <w:sz w:val="30"/>
                <w:b/>
              </w:rPr>
              <w:t>业务培训服务</w:t>
            </w:r>
          </w:p>
          <w:p>
            <w:pPr>
              <w:pStyle w:val="null3"/>
              <w:ind w:firstLine="480"/>
              <w:jc w:val="both"/>
            </w:pPr>
            <w:r>
              <w:rPr>
                <w:rFonts w:ascii="仿宋_GB2312" w:hAnsi="仿宋_GB2312" w:cs="仿宋_GB2312" w:eastAsia="仿宋_GB2312"/>
                <w:sz w:val="24"/>
              </w:rPr>
              <w:t>每年度至少举行</w:t>
            </w:r>
            <w:r>
              <w:rPr>
                <w:rFonts w:ascii="仿宋_GB2312" w:hAnsi="仿宋_GB2312" w:cs="仿宋_GB2312" w:eastAsia="仿宋_GB2312"/>
                <w:sz w:val="24"/>
              </w:rPr>
              <w:t>2次政务公开工作培训，具体包括“政府网站运维、政务新媒体运行、政府信息依申请公开”等方面内容。区政府政务信息中心负责培训工作组织和培训地点及专家的确定。中标方负责按照培训要求聘请相关专家和技术人员授课，并做好会务相关保障。通过名师授课、案例分析、实际演练、经验共享等方式，提升各单位政务公开工作水平。</w:t>
            </w:r>
          </w:p>
          <w:p>
            <w:pPr>
              <w:pStyle w:val="null3"/>
              <w:spacing w:before="150" w:after="150"/>
              <w:ind w:left="705"/>
              <w:jc w:val="both"/>
              <w:outlineLvl w:val="2"/>
            </w:pPr>
            <w:r>
              <w:rPr>
                <w:rFonts w:ascii="仿宋_GB2312" w:hAnsi="仿宋_GB2312" w:cs="仿宋_GB2312" w:eastAsia="仿宋_GB2312"/>
                <w:sz w:val="32"/>
                <w:b/>
              </w:rPr>
              <w:t>1.3.2</w:t>
            </w:r>
            <w:r>
              <w:rPr>
                <w:rFonts w:ascii="仿宋_GB2312" w:hAnsi="仿宋_GB2312" w:cs="仿宋_GB2312" w:eastAsia="仿宋_GB2312"/>
                <w:sz w:val="32"/>
                <w:b/>
              </w:rPr>
              <w:t>区政府门户网站运维及监测提升服务</w:t>
            </w:r>
          </w:p>
          <w:p>
            <w:pPr>
              <w:pStyle w:val="null3"/>
              <w:spacing w:before="150" w:after="150"/>
              <w:ind w:left="705"/>
              <w:jc w:val="both"/>
              <w:outlineLvl w:val="3"/>
            </w:pPr>
            <w:r>
              <w:rPr>
                <w:rFonts w:ascii="仿宋_GB2312" w:hAnsi="仿宋_GB2312" w:cs="仿宋_GB2312" w:eastAsia="仿宋_GB2312"/>
                <w:sz w:val="30"/>
                <w:b/>
              </w:rPr>
              <w:t>1.3.2.1</w:t>
            </w:r>
            <w:r>
              <w:rPr>
                <w:rFonts w:ascii="仿宋_GB2312" w:hAnsi="仿宋_GB2312" w:cs="仿宋_GB2312" w:eastAsia="仿宋_GB2312"/>
                <w:sz w:val="30"/>
                <w:b/>
              </w:rPr>
              <w:t>网站日常运维服务</w:t>
            </w:r>
          </w:p>
          <w:p>
            <w:pPr>
              <w:pStyle w:val="null3"/>
              <w:ind w:firstLine="480"/>
              <w:jc w:val="both"/>
            </w:pPr>
            <w:r>
              <w:rPr>
                <w:rFonts w:ascii="仿宋_GB2312" w:hAnsi="仿宋_GB2312" w:cs="仿宋_GB2312" w:eastAsia="仿宋_GB2312"/>
                <w:sz w:val="24"/>
              </w:rPr>
              <w:t>提供网站日常运维服务。主要包括网站技术运维、网站页面及栏目优化设计、网站纠错整改、网站专题策划与制作、网站无障碍和适老化服务、智能问答等方面内容。</w:t>
            </w:r>
          </w:p>
          <w:p>
            <w:pPr>
              <w:pStyle w:val="null3"/>
              <w:numPr>
                <w:ilvl w:val="0"/>
                <w:numId w:val="1"/>
              </w:numPr>
              <w:ind w:left="600"/>
              <w:jc w:val="both"/>
            </w:pPr>
            <w:r>
              <w:rPr>
                <w:rFonts w:ascii="仿宋_GB2312" w:hAnsi="仿宋_GB2312" w:cs="仿宋_GB2312" w:eastAsia="仿宋_GB2312"/>
                <w:sz w:val="24"/>
              </w:rPr>
              <w:t>网站运维服务团队</w:t>
            </w:r>
          </w:p>
          <w:p>
            <w:pPr>
              <w:pStyle w:val="null3"/>
              <w:ind w:firstLine="480"/>
              <w:jc w:val="both"/>
            </w:pPr>
            <w:r>
              <w:rPr>
                <w:rFonts w:ascii="仿宋_GB2312" w:hAnsi="仿宋_GB2312" w:cs="仿宋_GB2312" w:eastAsia="仿宋_GB2312"/>
                <w:sz w:val="24"/>
              </w:rPr>
              <w:t>建立专业化、固定化、</w:t>
            </w:r>
            <w:r>
              <w:rPr>
                <w:rFonts w:ascii="仿宋_GB2312" w:hAnsi="仿宋_GB2312" w:cs="仿宋_GB2312" w:eastAsia="仿宋_GB2312"/>
                <w:sz w:val="24"/>
              </w:rPr>
              <w:t>“一对一”的网站运维服务团队，落实24小时网站维护值班制度，为用户提供全天候服务保障。</w:t>
            </w:r>
          </w:p>
          <w:p>
            <w:pPr>
              <w:pStyle w:val="null3"/>
              <w:numPr>
                <w:ilvl w:val="0"/>
                <w:numId w:val="1"/>
              </w:numPr>
              <w:ind w:left="600"/>
              <w:jc w:val="both"/>
            </w:pPr>
            <w:r>
              <w:rPr>
                <w:rFonts w:ascii="仿宋_GB2312" w:hAnsi="仿宋_GB2312" w:cs="仿宋_GB2312" w:eastAsia="仿宋_GB2312"/>
                <w:sz w:val="24"/>
              </w:rPr>
              <w:t>网站技术运维</w:t>
            </w:r>
          </w:p>
          <w:p>
            <w:pPr>
              <w:pStyle w:val="null3"/>
              <w:ind w:firstLine="480"/>
              <w:jc w:val="both"/>
            </w:pPr>
            <w:r>
              <w:rPr>
                <w:rFonts w:ascii="仿宋_GB2312" w:hAnsi="仿宋_GB2312" w:cs="仿宋_GB2312" w:eastAsia="仿宋_GB2312"/>
                <w:sz w:val="24"/>
              </w:rPr>
              <w:t>提供网站日常技术运维服务，具体包括问题诊断与修改、网站监控、性能优化、系统管理、安全管理、技术咨询、专项保障、系统培训等服务，协助做好安全等级保护测评等工作。</w:t>
            </w:r>
          </w:p>
          <w:p>
            <w:pPr>
              <w:pStyle w:val="null3"/>
              <w:numPr>
                <w:ilvl w:val="0"/>
                <w:numId w:val="1"/>
              </w:numPr>
              <w:ind w:left="600"/>
              <w:jc w:val="both"/>
            </w:pPr>
            <w:r>
              <w:rPr>
                <w:rFonts w:ascii="仿宋_GB2312" w:hAnsi="仿宋_GB2312" w:cs="仿宋_GB2312" w:eastAsia="仿宋_GB2312"/>
                <w:sz w:val="24"/>
              </w:rPr>
              <w:t>网站页面及栏目优化设计</w:t>
            </w:r>
          </w:p>
          <w:p>
            <w:pPr>
              <w:pStyle w:val="null3"/>
              <w:ind w:firstLine="480"/>
              <w:jc w:val="both"/>
            </w:pPr>
            <w:r>
              <w:rPr>
                <w:rFonts w:ascii="仿宋_GB2312" w:hAnsi="仿宋_GB2312" w:cs="仿宋_GB2312" w:eastAsia="仿宋_GB2312"/>
                <w:sz w:val="24"/>
              </w:rPr>
              <w:t>根据中省市政府网站及政务公开考核要求或实际业务需求，提供网站页面优化调整、网站栏目及展示方式调整、网站图片制作、网站数据处理与统计分析等服务。</w:t>
            </w:r>
          </w:p>
          <w:p>
            <w:pPr>
              <w:pStyle w:val="null3"/>
              <w:numPr>
                <w:ilvl w:val="0"/>
                <w:numId w:val="1"/>
              </w:numPr>
              <w:ind w:left="600"/>
              <w:jc w:val="both"/>
            </w:pPr>
            <w:r>
              <w:rPr>
                <w:rFonts w:ascii="仿宋_GB2312" w:hAnsi="仿宋_GB2312" w:cs="仿宋_GB2312" w:eastAsia="仿宋_GB2312"/>
                <w:sz w:val="24"/>
              </w:rPr>
              <w:t>网站纠错整改</w:t>
            </w:r>
          </w:p>
          <w:p>
            <w:pPr>
              <w:pStyle w:val="null3"/>
              <w:ind w:firstLine="480"/>
              <w:jc w:val="both"/>
            </w:pPr>
            <w:r>
              <w:rPr>
                <w:rFonts w:ascii="仿宋_GB2312" w:hAnsi="仿宋_GB2312" w:cs="仿宋_GB2312" w:eastAsia="仿宋_GB2312"/>
                <w:sz w:val="24"/>
              </w:rPr>
              <w:t>协助做好陕西省政府网站与政务新媒体监管平台反馈问题的整改工作；协助做好市政府政务公开办反馈问题的整改工作；协助做好网信部门反馈问题的整改工作；协助做好全国政府网站找错系统反馈的网站错误信息的纠错整改工作。</w:t>
            </w:r>
          </w:p>
          <w:p>
            <w:pPr>
              <w:pStyle w:val="null3"/>
              <w:numPr>
                <w:ilvl w:val="0"/>
                <w:numId w:val="1"/>
              </w:numPr>
              <w:ind w:left="600"/>
              <w:jc w:val="both"/>
            </w:pPr>
            <w:r>
              <w:rPr>
                <w:rFonts w:ascii="仿宋_GB2312" w:hAnsi="仿宋_GB2312" w:cs="仿宋_GB2312" w:eastAsia="仿宋_GB2312"/>
                <w:sz w:val="24"/>
              </w:rPr>
              <w:t>网站专题策划与制作</w:t>
            </w:r>
          </w:p>
          <w:p>
            <w:pPr>
              <w:pStyle w:val="null3"/>
              <w:ind w:firstLine="480"/>
              <w:jc w:val="both"/>
            </w:pPr>
            <w:r>
              <w:rPr>
                <w:rFonts w:ascii="仿宋_GB2312" w:hAnsi="仿宋_GB2312" w:cs="仿宋_GB2312" w:eastAsia="仿宋_GB2312"/>
                <w:sz w:val="24"/>
              </w:rPr>
              <w:t>根据中省市要求及全区重点、热点工作需要，规划建设网站专题专栏，全年提供不少于</w:t>
            </w:r>
            <w:r>
              <w:rPr>
                <w:rFonts w:ascii="仿宋_GB2312" w:hAnsi="仿宋_GB2312" w:cs="仿宋_GB2312" w:eastAsia="仿宋_GB2312"/>
                <w:sz w:val="24"/>
              </w:rPr>
              <w:t>10个专栏专题制作服务。</w:t>
            </w:r>
          </w:p>
          <w:p>
            <w:pPr>
              <w:pStyle w:val="null3"/>
              <w:numPr>
                <w:ilvl w:val="0"/>
                <w:numId w:val="1"/>
              </w:numPr>
              <w:ind w:left="600"/>
              <w:jc w:val="both"/>
            </w:pPr>
            <w:r>
              <w:rPr>
                <w:rFonts w:ascii="仿宋_GB2312" w:hAnsi="仿宋_GB2312" w:cs="仿宋_GB2312" w:eastAsia="仿宋_GB2312"/>
                <w:sz w:val="24"/>
              </w:rPr>
              <w:t>网站无障碍和适老化服务</w:t>
            </w:r>
          </w:p>
          <w:p>
            <w:pPr>
              <w:pStyle w:val="null3"/>
              <w:ind w:firstLine="480"/>
              <w:jc w:val="both"/>
            </w:pPr>
            <w:r>
              <w:rPr>
                <w:rFonts w:ascii="仿宋_GB2312" w:hAnsi="仿宋_GB2312" w:cs="仿宋_GB2312" w:eastAsia="仿宋_GB2312"/>
                <w:sz w:val="24"/>
              </w:rPr>
              <w:t>按照《消除</w:t>
            </w:r>
            <w:r>
              <w:rPr>
                <w:rFonts w:ascii="仿宋_GB2312" w:hAnsi="仿宋_GB2312" w:cs="仿宋_GB2312" w:eastAsia="仿宋_GB2312"/>
                <w:sz w:val="24"/>
              </w:rPr>
              <w:t>“数字鸿沟”，推进政府网站、政务新媒体适老化与无障碍改造的通知》（国办公开办函〔2021〕28号）文件的要求，依据《互联网网站适老化通用设计规范》（工信部）、《信息技术互联网内容无障碍可访问性技术要求与测试方法》（GB/T 37668-2019）等相关技术标准，结合中省有关政务公开考核评估要求，完成雁塔区政府网站的适老化与无障碍改造。</w:t>
            </w:r>
          </w:p>
          <w:p>
            <w:pPr>
              <w:pStyle w:val="null3"/>
              <w:numPr>
                <w:ilvl w:val="0"/>
                <w:numId w:val="1"/>
              </w:numPr>
              <w:ind w:left="600"/>
              <w:jc w:val="both"/>
            </w:pPr>
            <w:r>
              <w:rPr>
                <w:rFonts w:ascii="仿宋_GB2312" w:hAnsi="仿宋_GB2312" w:cs="仿宋_GB2312" w:eastAsia="仿宋_GB2312"/>
                <w:sz w:val="24"/>
              </w:rPr>
              <w:t>网站长者专版定制</w:t>
            </w:r>
          </w:p>
          <w:p>
            <w:pPr>
              <w:pStyle w:val="null3"/>
              <w:ind w:firstLine="480"/>
              <w:jc w:val="both"/>
            </w:pPr>
            <w:r>
              <w:rPr>
                <w:rFonts w:ascii="仿宋_GB2312" w:hAnsi="仿宋_GB2312" w:cs="仿宋_GB2312" w:eastAsia="仿宋_GB2312"/>
                <w:sz w:val="24"/>
              </w:rPr>
              <w:t>提供网站长者专版定制，通过整合老年人群体相关的信息、政策、服务事项、办事入口等数据资源和网站栏目，构建长者服务专区，从便捷性、舒适性、高效性等多维度整合资源，支持老年人感知网页内容、获取服务，采用大字体、大图标、高对比度等设计形式，进一步提升老年人等特殊群体通过政府网站获取政务信息和服务的便捷度。</w:t>
            </w:r>
          </w:p>
          <w:p>
            <w:pPr>
              <w:pStyle w:val="null3"/>
              <w:numPr>
                <w:ilvl w:val="0"/>
                <w:numId w:val="1"/>
              </w:numPr>
              <w:ind w:left="600"/>
              <w:jc w:val="both"/>
            </w:pPr>
            <w:r>
              <w:rPr>
                <w:rFonts w:ascii="仿宋_GB2312" w:hAnsi="仿宋_GB2312" w:cs="仿宋_GB2312" w:eastAsia="仿宋_GB2312"/>
                <w:sz w:val="24"/>
              </w:rPr>
              <w:t>智能问答服务</w:t>
            </w:r>
          </w:p>
          <w:p>
            <w:pPr>
              <w:pStyle w:val="null3"/>
              <w:ind w:firstLine="480"/>
              <w:jc w:val="both"/>
            </w:pPr>
            <w:r>
              <w:rPr>
                <w:rFonts w:ascii="仿宋_GB2312" w:hAnsi="仿宋_GB2312" w:cs="仿宋_GB2312" w:eastAsia="仿宋_GB2312"/>
                <w:sz w:val="24"/>
              </w:rPr>
              <w:t>采用自然语言处理、智能搜索、深度学习等技术，提供智能问答服务，具体包括意图识别、自动问答、办事问答、场景服务、知识库管理、数据统计报表等功能。同时，提供智能问答知识库梳理、更新、维护和训练等服务。</w:t>
            </w:r>
          </w:p>
          <w:p>
            <w:pPr>
              <w:pStyle w:val="null3"/>
              <w:numPr>
                <w:ilvl w:val="0"/>
                <w:numId w:val="1"/>
              </w:numPr>
              <w:ind w:left="600"/>
              <w:jc w:val="both"/>
            </w:pPr>
            <w:r>
              <w:rPr>
                <w:rFonts w:ascii="仿宋_GB2312" w:hAnsi="仿宋_GB2312" w:cs="仿宋_GB2312" w:eastAsia="仿宋_GB2312"/>
                <w:sz w:val="24"/>
              </w:rPr>
              <w:t>注册备案管理服务</w:t>
            </w:r>
          </w:p>
          <w:p>
            <w:pPr>
              <w:pStyle w:val="null3"/>
              <w:ind w:firstLine="480"/>
              <w:jc w:val="both"/>
            </w:pPr>
            <w:r>
              <w:rPr>
                <w:rFonts w:ascii="仿宋_GB2312" w:hAnsi="仿宋_GB2312" w:cs="仿宋_GB2312" w:eastAsia="仿宋_GB2312"/>
                <w:sz w:val="24"/>
              </w:rPr>
              <w:t>协助做好网站基础信息维护，包括</w:t>
            </w:r>
            <w:r>
              <w:rPr>
                <w:rFonts w:ascii="仿宋_GB2312" w:hAnsi="仿宋_GB2312" w:cs="仿宋_GB2312" w:eastAsia="仿宋_GB2312"/>
                <w:sz w:val="24"/>
              </w:rPr>
              <w:t>IP/ICP域名备案等服务。负责按照区政府政务信息中心要求，做好网站域名注册、站点维护及续费等工作。</w:t>
            </w:r>
          </w:p>
          <w:p>
            <w:pPr>
              <w:pStyle w:val="null3"/>
              <w:numPr>
                <w:ilvl w:val="0"/>
                <w:numId w:val="1"/>
              </w:numPr>
              <w:ind w:left="600"/>
              <w:jc w:val="both"/>
            </w:pPr>
            <w:r>
              <w:rPr>
                <w:rFonts w:ascii="仿宋_GB2312" w:hAnsi="仿宋_GB2312" w:cs="仿宋_GB2312" w:eastAsia="仿宋_GB2312"/>
                <w:sz w:val="24"/>
              </w:rPr>
              <w:t>SSL证书</w:t>
            </w:r>
          </w:p>
          <w:p>
            <w:pPr>
              <w:pStyle w:val="null3"/>
              <w:ind w:firstLine="480"/>
              <w:jc w:val="both"/>
            </w:pPr>
            <w:r>
              <w:rPr>
                <w:rFonts w:ascii="仿宋_GB2312" w:hAnsi="仿宋_GB2312" w:cs="仿宋_GB2312" w:eastAsia="仿宋_GB2312"/>
                <w:sz w:val="24"/>
              </w:rPr>
              <w:t>购买第三方</w:t>
            </w:r>
            <w:r>
              <w:rPr>
                <w:rFonts w:ascii="仿宋_GB2312" w:hAnsi="仿宋_GB2312" w:cs="仿宋_GB2312" w:eastAsia="仿宋_GB2312"/>
                <w:sz w:val="24"/>
              </w:rPr>
              <w:t>SSL证书服务，实现网站的身份验证和数据传输加密功能。</w:t>
            </w:r>
          </w:p>
          <w:p>
            <w:pPr>
              <w:pStyle w:val="null3"/>
              <w:spacing w:before="150" w:after="150"/>
              <w:ind w:left="705"/>
              <w:jc w:val="both"/>
              <w:outlineLvl w:val="3"/>
            </w:pPr>
            <w:r>
              <w:rPr>
                <w:rFonts w:ascii="仿宋_GB2312" w:hAnsi="仿宋_GB2312" w:cs="仿宋_GB2312" w:eastAsia="仿宋_GB2312"/>
                <w:sz w:val="30"/>
                <w:b/>
              </w:rPr>
              <w:t>1.3.2.2</w:t>
            </w:r>
            <w:r>
              <w:rPr>
                <w:rFonts w:ascii="仿宋_GB2312" w:hAnsi="仿宋_GB2312" w:cs="仿宋_GB2312" w:eastAsia="仿宋_GB2312"/>
                <w:sz w:val="30"/>
                <w:b/>
              </w:rPr>
              <w:t>网站日常普查监测服务</w:t>
            </w:r>
          </w:p>
          <w:p>
            <w:pPr>
              <w:pStyle w:val="null3"/>
              <w:ind w:firstLine="480"/>
              <w:jc w:val="both"/>
            </w:pPr>
            <w:r>
              <w:rPr>
                <w:rFonts w:ascii="仿宋_GB2312" w:hAnsi="仿宋_GB2312" w:cs="仿宋_GB2312" w:eastAsia="仿宋_GB2312"/>
                <w:sz w:val="24"/>
              </w:rPr>
              <w:t>根据国家、省、市关于政府网站检查及考核要求，对网站日常运行情况提供普查监测服务。</w:t>
            </w:r>
          </w:p>
          <w:p>
            <w:pPr>
              <w:pStyle w:val="null3"/>
              <w:numPr>
                <w:ilvl w:val="0"/>
                <w:numId w:val="1"/>
              </w:numPr>
              <w:ind w:left="600"/>
              <w:jc w:val="both"/>
            </w:pPr>
            <w:r>
              <w:rPr>
                <w:rFonts w:ascii="仿宋_GB2312" w:hAnsi="仿宋_GB2312" w:cs="仿宋_GB2312" w:eastAsia="仿宋_GB2312"/>
                <w:sz w:val="24"/>
              </w:rPr>
              <w:t>系统监测服务</w:t>
            </w:r>
          </w:p>
          <w:p>
            <w:pPr>
              <w:pStyle w:val="null3"/>
              <w:ind w:firstLine="480"/>
              <w:jc w:val="both"/>
            </w:pPr>
            <w:r>
              <w:rPr>
                <w:rFonts w:ascii="仿宋_GB2312" w:hAnsi="仿宋_GB2312" w:cs="仿宋_GB2312" w:eastAsia="仿宋_GB2312"/>
                <w:sz w:val="24"/>
              </w:rPr>
              <w:t>提供网站监测系统，针对网站进行</w:t>
            </w:r>
            <w:r>
              <w:rPr>
                <w:rFonts w:ascii="仿宋_GB2312" w:hAnsi="仿宋_GB2312" w:cs="仿宋_GB2312" w:eastAsia="仿宋_GB2312"/>
                <w:sz w:val="24"/>
              </w:rPr>
              <w:t>7*24小时实时监测，实现网站首页更新、栏目更新、错敏信息、隐私泄露、外链暗链、首页连通性、栏目连通性、链接可用性等方面的实时监测和扫描，针对监测出的问题及时预警提醒。支持手机短信、微信、邮件等预警方式。</w:t>
            </w:r>
          </w:p>
          <w:p>
            <w:pPr>
              <w:pStyle w:val="null3"/>
              <w:numPr>
                <w:ilvl w:val="0"/>
                <w:numId w:val="1"/>
              </w:numPr>
              <w:ind w:left="600"/>
              <w:jc w:val="both"/>
            </w:pPr>
            <w:r>
              <w:rPr>
                <w:rFonts w:ascii="仿宋_GB2312" w:hAnsi="仿宋_GB2312" w:cs="仿宋_GB2312" w:eastAsia="仿宋_GB2312"/>
                <w:sz w:val="24"/>
              </w:rPr>
              <w:t>人工全面检测服务</w:t>
            </w:r>
          </w:p>
          <w:p>
            <w:pPr>
              <w:pStyle w:val="null3"/>
              <w:ind w:firstLine="480"/>
              <w:jc w:val="both"/>
            </w:pPr>
            <w:r>
              <w:rPr>
                <w:rFonts w:ascii="仿宋_GB2312" w:hAnsi="仿宋_GB2312" w:cs="仿宋_GB2312" w:eastAsia="仿宋_GB2312"/>
                <w:sz w:val="24"/>
              </w:rPr>
              <w:t>按照《政府网站与政务新媒体检查指标》要求，对政府网站进行全面检测，结合系统监测和人工检查结果，每季度出具网站普查检测报告，协助整改。</w:t>
            </w:r>
          </w:p>
          <w:p>
            <w:pPr>
              <w:pStyle w:val="null3"/>
              <w:numPr>
                <w:ilvl w:val="0"/>
                <w:numId w:val="1"/>
              </w:numPr>
              <w:ind w:left="600"/>
              <w:jc w:val="both"/>
            </w:pPr>
            <w:r>
              <w:rPr>
                <w:rFonts w:ascii="仿宋_GB2312" w:hAnsi="仿宋_GB2312" w:cs="仿宋_GB2312" w:eastAsia="仿宋_GB2312"/>
                <w:sz w:val="24"/>
              </w:rPr>
              <w:t>错敏信息监测服务</w:t>
            </w:r>
          </w:p>
          <w:p>
            <w:pPr>
              <w:pStyle w:val="null3"/>
              <w:ind w:firstLine="480"/>
              <w:jc w:val="both"/>
            </w:pPr>
            <w:r>
              <w:rPr>
                <w:rFonts w:ascii="仿宋_GB2312" w:hAnsi="仿宋_GB2312" w:cs="仿宋_GB2312" w:eastAsia="仿宋_GB2312"/>
                <w:sz w:val="24"/>
              </w:rPr>
              <w:t>提供网站错敏信息监测服务，针对网站每日新发稿件的各类严重表述错误、错别字、敏感词和隐私泄露等进行实时监测、提供错敏信息人工校对审核和系统预警提醒等服务。</w:t>
            </w:r>
          </w:p>
          <w:p>
            <w:pPr>
              <w:pStyle w:val="null3"/>
              <w:numPr>
                <w:ilvl w:val="0"/>
                <w:numId w:val="1"/>
              </w:numPr>
              <w:ind w:left="600"/>
              <w:jc w:val="both"/>
            </w:pPr>
            <w:r>
              <w:rPr>
                <w:rFonts w:ascii="仿宋_GB2312" w:hAnsi="仿宋_GB2312" w:cs="仿宋_GB2312" w:eastAsia="仿宋_GB2312"/>
                <w:sz w:val="24"/>
              </w:rPr>
              <w:t>纠错处理服务</w:t>
            </w:r>
          </w:p>
          <w:p>
            <w:pPr>
              <w:pStyle w:val="null3"/>
              <w:ind w:firstLine="480"/>
              <w:jc w:val="both"/>
            </w:pPr>
            <w:r>
              <w:rPr>
                <w:rFonts w:ascii="仿宋_GB2312" w:hAnsi="仿宋_GB2312" w:cs="仿宋_GB2312" w:eastAsia="仿宋_GB2312"/>
                <w:sz w:val="24"/>
              </w:rPr>
              <w:t>协助做好全国政府网站找错系统反馈的网站错误信息的纠错整改工作。</w:t>
            </w:r>
          </w:p>
          <w:p>
            <w:pPr>
              <w:pStyle w:val="null3"/>
              <w:spacing w:before="150" w:after="150"/>
              <w:ind w:left="705"/>
              <w:jc w:val="both"/>
              <w:outlineLvl w:val="2"/>
            </w:pPr>
            <w:r>
              <w:rPr>
                <w:rFonts w:ascii="仿宋_GB2312" w:hAnsi="仿宋_GB2312" w:cs="仿宋_GB2312" w:eastAsia="仿宋_GB2312"/>
                <w:sz w:val="32"/>
                <w:b/>
              </w:rPr>
              <w:t>1.3.3</w:t>
            </w:r>
            <w:r>
              <w:rPr>
                <w:rFonts w:ascii="仿宋_GB2312" w:hAnsi="仿宋_GB2312" w:cs="仿宋_GB2312" w:eastAsia="仿宋_GB2312"/>
                <w:sz w:val="32"/>
                <w:b/>
              </w:rPr>
              <w:t>政务新媒体监测服务</w:t>
            </w:r>
          </w:p>
          <w:p>
            <w:pPr>
              <w:pStyle w:val="null3"/>
              <w:ind w:firstLine="480"/>
              <w:jc w:val="both"/>
            </w:pPr>
            <w:r>
              <w:rPr>
                <w:rFonts w:ascii="仿宋_GB2312" w:hAnsi="仿宋_GB2312" w:cs="仿宋_GB2312" w:eastAsia="仿宋_GB2312"/>
                <w:sz w:val="24"/>
              </w:rPr>
              <w:t>根据《政府网站与政务新媒体检查指标》要求，基于政务新媒体监测平台，针对政务新媒体的错敏信息、隐私泄露、外链暗链、内容更新、互动回应和账号运营情况等方面，采用系统</w:t>
            </w:r>
            <w:r>
              <w:rPr>
                <w:rFonts w:ascii="仿宋_GB2312" w:hAnsi="仿宋_GB2312" w:cs="仿宋_GB2312" w:eastAsia="仿宋_GB2312"/>
                <w:sz w:val="24"/>
              </w:rPr>
              <w:t>+人工的方式开展日常监测服务，提供人工复核、预警提醒和技术支持等服务，每季度出具监测报告。</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1）问题监测</w:t>
            </w:r>
          </w:p>
          <w:p>
            <w:pPr>
              <w:pStyle w:val="null3"/>
              <w:ind w:firstLine="480"/>
              <w:jc w:val="both"/>
            </w:pPr>
            <w:r>
              <w:rPr>
                <w:rFonts w:ascii="仿宋_GB2312" w:hAnsi="仿宋_GB2312" w:cs="仿宋_GB2312" w:eastAsia="仿宋_GB2312"/>
                <w:sz w:val="24"/>
              </w:rPr>
              <w:t>通过系统自动获取到微信公众号、微博等新媒体发布内容以及评论内容进行实时监测，监测结果可通过系统进行展示和查看。</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2）内容更新情况监测</w:t>
            </w:r>
          </w:p>
          <w:p>
            <w:pPr>
              <w:pStyle w:val="null3"/>
              <w:ind w:firstLine="480"/>
              <w:jc w:val="both"/>
            </w:pPr>
            <w:r>
              <w:rPr>
                <w:rFonts w:ascii="仿宋_GB2312" w:hAnsi="仿宋_GB2312" w:cs="仿宋_GB2312" w:eastAsia="仿宋_GB2312"/>
                <w:sz w:val="24"/>
              </w:rPr>
              <w:t>通过系统自动监测新媒体内容发布和更新情况，针对更新不及时的进行预警提醒。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3）账号运营情况</w:t>
            </w:r>
          </w:p>
          <w:p>
            <w:pPr>
              <w:pStyle w:val="null3"/>
              <w:ind w:firstLine="480"/>
              <w:jc w:val="both"/>
            </w:pPr>
            <w:r>
              <w:rPr>
                <w:rFonts w:ascii="仿宋_GB2312" w:hAnsi="仿宋_GB2312" w:cs="仿宋_GB2312" w:eastAsia="仿宋_GB2312"/>
                <w:sz w:val="24"/>
              </w:rPr>
              <w:t>监测和统计微信公众号、微博账号运营数据，包括发文数、阅读数、点赞数、评论数等。</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4）账号监测管理</w:t>
            </w:r>
          </w:p>
          <w:p>
            <w:pPr>
              <w:pStyle w:val="null3"/>
              <w:ind w:firstLine="480"/>
              <w:jc w:val="both"/>
            </w:pPr>
            <w:r>
              <w:rPr>
                <w:rFonts w:ascii="仿宋_GB2312" w:hAnsi="仿宋_GB2312" w:cs="仿宋_GB2312" w:eastAsia="仿宋_GB2312"/>
                <w:sz w:val="24"/>
              </w:rPr>
              <w:t>提供新媒体账号的填报及管理功能，能够借助此功能实现组织单位对新媒体账号的摸底，填报单位对新媒体账号信息进行申报及管理，为后续新媒体监测监管提供账号依据。</w:t>
            </w:r>
          </w:p>
          <w:p>
            <w:pPr>
              <w:pStyle w:val="null3"/>
              <w:spacing w:before="150" w:after="150"/>
              <w:ind w:left="705"/>
              <w:jc w:val="both"/>
              <w:outlineLvl w:val="2"/>
            </w:pPr>
            <w:r>
              <w:rPr>
                <w:rFonts w:ascii="仿宋_GB2312" w:hAnsi="仿宋_GB2312" w:cs="仿宋_GB2312" w:eastAsia="仿宋_GB2312"/>
                <w:sz w:val="32"/>
                <w:b/>
              </w:rPr>
              <w:t>1.3.4</w:t>
            </w:r>
            <w:r>
              <w:rPr>
                <w:rFonts w:ascii="仿宋_GB2312" w:hAnsi="仿宋_GB2312" w:cs="仿宋_GB2312" w:eastAsia="仿宋_GB2312"/>
                <w:sz w:val="32"/>
                <w:b/>
              </w:rPr>
              <w:t>驻场运维服务</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1名工程师驻场运维服务。根据区政府政务信息中心要求提供网站内容采编与维护管理、网站日常检查、网站错敏信息修改、网站断错链修改、网站问题整改、需求收集与反馈、数据统计与报表、留言处理等服务。</w:t>
            </w:r>
          </w:p>
          <w:p>
            <w:pPr>
              <w:pStyle w:val="null3"/>
              <w:spacing w:before="150" w:after="150"/>
              <w:ind w:left="705"/>
              <w:jc w:val="both"/>
              <w:outlineLvl w:val="1"/>
            </w:pPr>
            <w:r>
              <w:rPr>
                <w:rFonts w:ascii="仿宋_GB2312" w:hAnsi="仿宋_GB2312" w:cs="仿宋_GB2312" w:eastAsia="仿宋_GB2312"/>
                <w:sz w:val="36"/>
                <w:b/>
              </w:rPr>
              <w:t>1.4</w:t>
            </w:r>
            <w:r>
              <w:rPr>
                <w:rFonts w:ascii="仿宋_GB2312" w:hAnsi="仿宋_GB2312" w:cs="仿宋_GB2312" w:eastAsia="仿宋_GB2312"/>
                <w:sz w:val="36"/>
                <w:b/>
              </w:rPr>
              <w:t>其他要求</w:t>
            </w:r>
          </w:p>
          <w:p>
            <w:pPr>
              <w:pStyle w:val="null3"/>
              <w:spacing w:before="150" w:after="150"/>
              <w:jc w:val="both"/>
              <w:outlineLvl w:val="2"/>
            </w:pPr>
            <w:r>
              <w:rPr>
                <w:rFonts w:ascii="仿宋_GB2312" w:hAnsi="仿宋_GB2312" w:cs="仿宋_GB2312" w:eastAsia="仿宋_GB2312"/>
                <w:sz w:val="32"/>
                <w:b/>
              </w:rPr>
              <w:t>1.4.1</w:t>
            </w:r>
            <w:r>
              <w:rPr>
                <w:rFonts w:ascii="仿宋_GB2312" w:hAnsi="仿宋_GB2312" w:cs="仿宋_GB2312" w:eastAsia="仿宋_GB2312"/>
                <w:sz w:val="32"/>
                <w:b/>
              </w:rPr>
              <w:t>运维服务要求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）服务周期</w:t>
            </w:r>
            <w:r>
              <w:rPr>
                <w:rFonts w:ascii="仿宋_GB2312" w:hAnsi="仿宋_GB2312" w:cs="仿宋_GB2312" w:eastAsia="仿宋_GB2312"/>
                <w:sz w:val="24"/>
              </w:rPr>
              <w:t>1年。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）明确承诺服务响应</w:t>
            </w:r>
            <w:r>
              <w:rPr>
                <w:rFonts w:ascii="仿宋_GB2312" w:hAnsi="仿宋_GB2312" w:cs="仿宋_GB2312" w:eastAsia="仿宋_GB2312"/>
                <w:sz w:val="24"/>
              </w:rPr>
              <w:t xml:space="preserve"> 7*24 </w:t>
            </w:r>
            <w:r>
              <w:rPr>
                <w:rFonts w:ascii="仿宋_GB2312" w:hAnsi="仿宋_GB2312" w:cs="仿宋_GB2312" w:eastAsia="仿宋_GB2312"/>
                <w:sz w:val="24"/>
              </w:rPr>
              <w:t>小时电话服务，半小时内做出明确响应和安排，</w:t>
            </w:r>
            <w:r>
              <w:rPr>
                <w:rFonts w:ascii="仿宋_GB2312" w:hAnsi="仿宋_GB2312" w:cs="仿宋_GB2312" w:eastAsia="仿宋_GB2312"/>
                <w:sz w:val="24"/>
              </w:rPr>
              <w:t xml:space="preserve">1 </w:t>
            </w:r>
            <w:r>
              <w:rPr>
                <w:rFonts w:ascii="仿宋_GB2312" w:hAnsi="仿宋_GB2312" w:cs="仿宋_GB2312" w:eastAsia="仿宋_GB2312"/>
                <w:sz w:val="24"/>
              </w:rPr>
              <w:t>小时内到达现场，</w:t>
            </w:r>
            <w:r>
              <w:rPr>
                <w:rFonts w:ascii="仿宋_GB2312" w:hAnsi="仿宋_GB2312" w:cs="仿宋_GB2312" w:eastAsia="仿宋_GB2312"/>
                <w:sz w:val="24"/>
              </w:rPr>
              <w:t xml:space="preserve">2 </w:t>
            </w:r>
            <w:r>
              <w:rPr>
                <w:rFonts w:ascii="仿宋_GB2312" w:hAnsi="仿宋_GB2312" w:cs="仿宋_GB2312" w:eastAsia="仿宋_GB2312"/>
                <w:sz w:val="24"/>
              </w:rPr>
              <w:t>小时内做出相应的故障或责任判断，并协助采购人处理后继事宜。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）须详细说明实施本项目拟采用的团队组织方法和具体项目组织机构，保证在此项目服务期间有足够的人力投入和人员的质量。</w:t>
            </w:r>
          </w:p>
          <w:p>
            <w:pPr>
              <w:pStyle w:val="null3"/>
              <w:spacing w:before="150" w:after="150"/>
              <w:ind w:left="705"/>
              <w:jc w:val="both"/>
              <w:outlineLvl w:val="2"/>
            </w:pPr>
            <w:r>
              <w:rPr>
                <w:rFonts w:ascii="仿宋_GB2312" w:hAnsi="仿宋_GB2312" w:cs="仿宋_GB2312" w:eastAsia="仿宋_GB2312"/>
                <w:sz w:val="32"/>
                <w:b/>
              </w:rPr>
              <w:t>1.4.2</w:t>
            </w:r>
            <w:r>
              <w:rPr>
                <w:rFonts w:ascii="仿宋_GB2312" w:hAnsi="仿宋_GB2312" w:cs="仿宋_GB2312" w:eastAsia="仿宋_GB2312"/>
                <w:sz w:val="32"/>
                <w:b/>
              </w:rPr>
              <w:t>质量保证要求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）符合国家有关规范要求，确保项目完成后达到最佳运行状态。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）投标人必须按照项目质量管理和质量保证体系，提出具体措施，确保项目质量。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详见磋商文件服务内容及合同条款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合同签订并收到成交供应商开具的发票后，满足正常运维服务30日且初期绩效评价合格后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乙方提供运维服务满6个月且中期绩效评价合格后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乙方提供运维服务履行完毕且终期绩效评价合格后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双方在履行合同过程中，若发生争议，可以协商解决。如协商未果，双方向甲方所在地人民法院提起诉讼。乙方如果没有按照本合同约定履行合同，甲方有权终止合同。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前6个月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前6个月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付款方式符合磋商文件要求；</w:t>
            </w:r>
          </w:p>
        </w:tc>
        <w:tc>
          <w:tcPr>
            <w:tcW w:type="dxa" w:w="1661"/>
          </w:tcPr>
          <w:p>
            <w:pPr>
              <w:pStyle w:val="null3"/>
            </w:pPr>
            <w:r>
              <w:rPr>
                <w:rFonts w:ascii="仿宋_GB2312" w:hAnsi="仿宋_GB2312" w:cs="仿宋_GB2312" w:eastAsia="仿宋_GB2312"/>
              </w:rPr>
              <w:t>报价表 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供应商应提交的相关资格证明材料.pdf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对本次服务背景的理解</w:t>
            </w:r>
          </w:p>
        </w:tc>
        <w:tc>
          <w:tcPr>
            <w:tcW w:type="dxa" w:w="2492"/>
          </w:tcPr>
          <w:p>
            <w:pPr>
              <w:pStyle w:val="null3"/>
            </w:pPr>
            <w:r>
              <w:rPr>
                <w:rFonts w:ascii="仿宋_GB2312" w:hAnsi="仿宋_GB2312" w:cs="仿宋_GB2312" w:eastAsia="仿宋_GB2312"/>
              </w:rPr>
              <w:t>基于“西安市政府网站集约化平台”开展网站及政务新媒体运维监测服务工作，因此，需熟悉“西安市政府网站集约化平台”，并提供平台①功能架构；②开发环境；③实施部署情况等内容。每一项内容描述详细，切实可行符合项目实际内容得3分，最高得9分。以上内容每缺1项扣3分；每有一项内容缺陷扣1分，未提供不得分。（缺陷是指：内容不详细具体、条理不清晰、描述过于简单、与项目特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政务公开建设服务方案</w:t>
            </w:r>
          </w:p>
        </w:tc>
        <w:tc>
          <w:tcPr>
            <w:tcW w:type="dxa" w:w="2492"/>
          </w:tcPr>
          <w:p>
            <w:pPr>
              <w:pStyle w:val="null3"/>
            </w:pPr>
            <w:r>
              <w:rPr>
                <w:rFonts w:ascii="仿宋_GB2312" w:hAnsi="仿宋_GB2312" w:cs="仿宋_GB2312" w:eastAsia="仿宋_GB2312"/>
              </w:rPr>
              <w:t>根据供应商提供的①政策解读服务；②对标诊断服务；③政务公开业务培训服务。每一项内容描述详细，切实可行符合项目实际内容得3分，最高得9分。以上内容每缺1项扣3分；每有一项内容缺陷扣1分，未提供不得分。（缺陷是指：内容不详细具体、条理不清晰、描述过于简单、与项目特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网站日常运维服务方案</w:t>
            </w:r>
          </w:p>
        </w:tc>
        <w:tc>
          <w:tcPr>
            <w:tcW w:type="dxa" w:w="2492"/>
          </w:tcPr>
          <w:p>
            <w:pPr>
              <w:pStyle w:val="null3"/>
            </w:pPr>
            <w:r>
              <w:rPr>
                <w:rFonts w:ascii="仿宋_GB2312" w:hAnsi="仿宋_GB2312" w:cs="仿宋_GB2312" w:eastAsia="仿宋_GB2312"/>
              </w:rPr>
              <w:t>根据供应商提供的①网站技术运维；②网站页面及栏目优化设计；③网站专题策划与制作；④网站无障碍和适老化服务；⑤网站长者专版定制；⑥智能问答服务；⑦注册备案管理服务；⑧SSL证书服务。每一项内容描述详细，切实可行符合项目实际内容得2分，最高得16分。以上内容任意一项缺项扣2分；每有一项内容缺陷扣1分，未提供不得分。（缺陷是指：内容不详细具体、条理不清晰、描述过于简单、与项目特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网站日常普查监测服务方案</w:t>
            </w:r>
          </w:p>
        </w:tc>
        <w:tc>
          <w:tcPr>
            <w:tcW w:type="dxa" w:w="2492"/>
          </w:tcPr>
          <w:p>
            <w:pPr>
              <w:pStyle w:val="null3"/>
            </w:pPr>
            <w:r>
              <w:rPr>
                <w:rFonts w:ascii="仿宋_GB2312" w:hAnsi="仿宋_GB2312" w:cs="仿宋_GB2312" w:eastAsia="仿宋_GB2312"/>
              </w:rPr>
              <w:t>根据供应商提供的①系统监测服务；②错敏信息监测服务；③人工全面检测服务；④纠错处理服务。评审依据：每一项内容描述详细，切实可行符合项目实际内容得2分，最高得8分。以上内容任意一项缺项扣2分；每有一项内容缺陷扣1分，未提供不得分。（缺陷是指：内容不详细具体、条理不清晰、描述过于简单、与项目特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政务新媒体监测服务方案</w:t>
            </w:r>
          </w:p>
        </w:tc>
        <w:tc>
          <w:tcPr>
            <w:tcW w:type="dxa" w:w="2492"/>
          </w:tcPr>
          <w:p>
            <w:pPr>
              <w:pStyle w:val="null3"/>
            </w:pPr>
            <w:r>
              <w:rPr>
                <w:rFonts w:ascii="仿宋_GB2312" w:hAnsi="仿宋_GB2312" w:cs="仿宋_GB2312" w:eastAsia="仿宋_GB2312"/>
              </w:rPr>
              <w:t>根据供应商提供的①问题监测；②内容更新情况监测；③账号监测管理。评审依据：每一项内容描述详细，切实可行符合项目实际内容得2分，最高得6分。以上内容任意一项缺项扣2分；每有一项内容缺陷扣1分，未提供不得分。（缺陷是指：内容不详细具体、条理不清晰、描述过于简单、与项目特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项目管理团队人员</w:t>
            </w:r>
          </w:p>
        </w:tc>
        <w:tc>
          <w:tcPr>
            <w:tcW w:type="dxa" w:w="2492"/>
          </w:tcPr>
          <w:p>
            <w:pPr>
              <w:pStyle w:val="null3"/>
            </w:pPr>
            <w:r>
              <w:rPr>
                <w:rFonts w:ascii="仿宋_GB2312" w:hAnsi="仿宋_GB2312" w:cs="仿宋_GB2312" w:eastAsia="仿宋_GB2312"/>
              </w:rPr>
              <w:t>根据供应商提供的为保障项目质量以及服务的稳定性，投入的团队人员需不少于6人，驻场服务人员不少于1人，不满足基本要求该项不得分，满足上述基本要求得5分；满足基本要求且每增加1名专业人员加1分，最高得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法定代表人身份证明和法定代表人授权委托书.pdf</w:t>
            </w:r>
          </w:p>
        </w:tc>
      </w:tr>
      <w:tr>
        <w:tc>
          <w:tcPr>
            <w:tcW w:type="dxa" w:w="831"/>
            <w:vMerge/>
          </w:tcPr>
          <w:p/>
        </w:tc>
        <w:tc>
          <w:tcPr>
            <w:tcW w:type="dxa" w:w="1661"/>
          </w:tcPr>
          <w:p>
            <w:pPr>
              <w:pStyle w:val="null3"/>
            </w:pPr>
            <w:r>
              <w:rPr>
                <w:rFonts w:ascii="仿宋_GB2312" w:hAnsi="仿宋_GB2312" w:cs="仿宋_GB2312" w:eastAsia="仿宋_GB2312"/>
              </w:rPr>
              <w:t>网站运维培训</w:t>
            </w:r>
          </w:p>
        </w:tc>
        <w:tc>
          <w:tcPr>
            <w:tcW w:type="dxa" w:w="2492"/>
          </w:tcPr>
          <w:p>
            <w:pPr>
              <w:pStyle w:val="null3"/>
            </w:pPr>
            <w:r>
              <w:rPr>
                <w:rFonts w:ascii="仿宋_GB2312" w:hAnsi="仿宋_GB2312" w:cs="仿宋_GB2312" w:eastAsia="仿宋_GB2312"/>
              </w:rPr>
              <w:t>根据供应商提供的①培训人员安排；②培训内容；③培训时间安排。每一项内容描述详细，切实可行符合项目实际内容得2分，最高得6分。以上内容任意一项缺项扣2分；每有一项内容缺陷扣1分，未提供不得分。（缺陷是指：内容不详细具体、条理不清晰、描述过于简单、与项目特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根据供应商提供的①应急服务方案（包括但不限于：应急小组组建、应急流程、应急处理过程及结果措施）；②应急服务措施（包括但不限于：网站、网页、黑客攻击、病毒安全、软件系统破坏、数据安全处置措施）。每一项内容描述详细，切实可行符合项目实际内容得3分，最高得6分。以上内容任意一项缺项扣3分；每有一项内容缺陷扣1分，未提供不得分。（缺陷是指：内容不详细具体、条理不清晰、描述过于简单、与项目特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①驻场运维服务；②服务质量承诺。评审依据：每一项内容描述详细，切实可行符合项目实际内容得3分，最高得6分。以上内容任意一项缺项扣3分；每有一项内容缺陷扣1分，未提供不得分。（缺陷是指：内容不详细具体、条理不清晰、描述过于简单、与项目特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其他</w:t>
            </w:r>
          </w:p>
        </w:tc>
        <w:tc>
          <w:tcPr>
            <w:tcW w:type="dxa" w:w="2492"/>
          </w:tcPr>
          <w:p>
            <w:pPr>
              <w:pStyle w:val="null3"/>
            </w:pPr>
            <w:r>
              <w:rPr>
                <w:rFonts w:ascii="仿宋_GB2312" w:hAnsi="仿宋_GB2312" w:cs="仿宋_GB2312" w:eastAsia="仿宋_GB2312"/>
              </w:rPr>
              <w:t>供应商提供有关网站集约化运维监管、集约化网站管理、集约化新媒体管理、集约化政民互动、集约化内容采编、集约化智能检索等相关软件著作权证书的，每提供一个得1分（不重复计分），最高得6分，未提供不得分。（注：证明材料为证书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供应商提供2022年5月1日（以合同签订时间为准）至响应文件递交截止时间止完成过的类似服务业绩，每提供一个得2分，最高得10分。（注：业绩以加盖公章的合同协议书的复印件（或扫描件）并加盖公章为准。）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详见附件：法定代表人身份证明和法定代表人授权委托书.pdf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