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版本号：ZJZC20250509001.1B120250530001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2025年度市政项目地质勘察服务(二次)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ZJZC20250509001.1B1</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2025年度市政项目地质勘察服务(二次)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ZJZC20250509001.1B1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2025年度市政项目地质勘察服务(二次)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为2025年度市政项目地质勘察服务，拟对沙泘沱安置小区南侧路等7个子项的岩土工程勘察，包括但不限于前期围挡、占道手续办理、青苗赔偿、场地协调、勘探点位地下管线调查、地裂缝调查等全部风险工作内容。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采购包1（2025年度市政项目地质勘察服务）：属于专门面向中小企业采购。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2、资质：供应商具备岩土工程勘察专业乙级及以上资质。</w:t>
      </w:r>
    </w:p>
    <w:p>
      <w:pPr>
        <w:pStyle w:val="null3"/>
      </w:pPr>
      <w:r>
        <w:rPr>
          <w:rFonts w:ascii="仿宋_GB2312" w:hAnsi="仿宋_GB2312" w:cs="仿宋_GB2312" w:eastAsia="仿宋_GB2312"/>
        </w:rPr>
        <w:t>3、项目负责人：供应商拟派项目负责人具备【注册土木工程师（岩土）】执业资格，且在本单位注册。</w:t>
      </w:r>
    </w:p>
    <w:p>
      <w:pPr>
        <w:pStyle w:val="null3"/>
      </w:pPr>
      <w:r>
        <w:rPr>
          <w:rFonts w:ascii="仿宋_GB2312" w:hAnsi="仿宋_GB2312" w:cs="仿宋_GB2312" w:eastAsia="仿宋_GB2312"/>
        </w:rPr>
        <w:t>4、财务状况报告：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6、社保缴纳证明：提供递交响应文件截止之日前一年内任意一个月的社会保障资金缴存单据或社保机构开具的社会保险参保缴费情况证明。依法不需要缴纳社会保障资金的供应商应提供相关文件证明。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8、近三年无重大违法、违纪书面声明：提供《近三年无重大违法、违纪书面声明》。</w:t>
      </w:r>
    </w:p>
    <w:p>
      <w:pPr>
        <w:pStyle w:val="null3"/>
      </w:pPr>
      <w:r>
        <w:rPr>
          <w:rFonts w:ascii="仿宋_GB2312" w:hAnsi="仿宋_GB2312" w:cs="仿宋_GB2312" w:eastAsia="仿宋_GB2312"/>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11、法定代表人授权委托书：法定代表人参加磋商的，须提供本人身份证复印件（附在资格证明文件中）；法定代表人授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18729530649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不足6000.00元按6000.00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 （2）国家有关的验收标准及规范； （3）竞争性磋商文件、竞争性磋商响应文件；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w:t>
      </w:r>
    </w:p>
    <w:p>
      <w:pPr>
        <w:pStyle w:val="null3"/>
      </w:pPr>
      <w:r>
        <w:rPr>
          <w:rFonts w:ascii="仿宋_GB2312" w:hAnsi="仿宋_GB2312" w:cs="仿宋_GB2312" w:eastAsia="仿宋_GB2312"/>
        </w:rPr>
        <w:t>联系电话：18729530649</w:t>
      </w:r>
    </w:p>
    <w:p>
      <w:pPr>
        <w:pStyle w:val="null3"/>
      </w:pPr>
      <w:r>
        <w:rPr>
          <w:rFonts w:ascii="仿宋_GB2312" w:hAnsi="仿宋_GB2312" w:cs="仿宋_GB2312" w:eastAsia="仿宋_GB2312"/>
        </w:rPr>
        <w:t>地址：陕西省西安市新城区长乐中路242号金花新都汇A座写字楼24层06室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为2025年度市政项目地质勘察服务，拟对沙泘沱安置小区南侧路等7个子项的岩土工程勘察，包括但不限于前期围挡、占道手续办理、青苗赔偿、场地协调、勘探点位地下管线调查、地裂缝调查等全部风险工作内容。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市政项目地质勘察服务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标的名称：市政项目地质勘察服务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西安市雁塔区</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7</w:t>
            </w:r>
            <w:r>
              <w:rPr>
                <w:rFonts w:ascii="仿宋_GB2312" w:hAnsi="仿宋_GB2312" w:cs="仿宋_GB2312" w:eastAsia="仿宋_GB2312"/>
                <w:sz w:val="24"/>
              </w:rPr>
              <w:t>条市政道路勘察，勘察范围如下：</w:t>
            </w:r>
          </w:p>
          <w:tbl>
            <w:tblPr>
              <w:tblBorders>
                <w:top w:val="none" w:color="000000" w:sz="4"/>
                <w:left w:val="none" w:color="000000" w:sz="4"/>
                <w:bottom w:val="none" w:color="000000" w:sz="4"/>
                <w:right w:val="none" w:color="000000" w:sz="4"/>
                <w:insideH w:val="none"/>
                <w:insideV w:val="none"/>
              </w:tblBorders>
            </w:tblPr>
            <w:tblGrid>
              <w:gridCol w:w="470"/>
              <w:gridCol w:w="3986"/>
            </w:tblGrid>
            <w:tr>
              <w:tc>
                <w:tcPr>
                  <w:tcW w:type="dxa" w:w="47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398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市政道路（含管线）勘察项目名称</w:t>
                  </w:r>
                </w:p>
              </w:tc>
            </w:tr>
            <w:tr>
              <w:tc>
                <w:tcPr>
                  <w:tcW w:type="dxa" w:w="47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398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沙泘沱安置小区南侧路</w:t>
                  </w:r>
                </w:p>
              </w:tc>
            </w:tr>
            <w:tr>
              <w:tc>
                <w:tcPr>
                  <w:tcW w:type="dxa" w:w="47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398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沙泘沱安置小区西侧路</w:t>
                  </w:r>
                </w:p>
              </w:tc>
            </w:tr>
            <w:tr>
              <w:tc>
                <w:tcPr>
                  <w:tcW w:type="dxa" w:w="47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398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电子东街南延伸</w:t>
                  </w:r>
                </w:p>
              </w:tc>
            </w:tr>
            <w:tr>
              <w:tc>
                <w:tcPr>
                  <w:tcW w:type="dxa" w:w="47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398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北山门东区北侧规划路</w:t>
                  </w:r>
                </w:p>
              </w:tc>
            </w:tr>
            <w:tr>
              <w:tc>
                <w:tcPr>
                  <w:tcW w:type="dxa" w:w="47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398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鱼化纬一路西段（经十三路</w:t>
                  </w:r>
                  <w:r>
                    <w:rPr>
                      <w:rFonts w:ascii="仿宋_GB2312" w:hAnsi="仿宋_GB2312" w:cs="仿宋_GB2312" w:eastAsia="仿宋_GB2312"/>
                      <w:sz w:val="24"/>
                    </w:rPr>
                    <w:t>-大寨南路）</w:t>
                  </w:r>
                </w:p>
              </w:tc>
            </w:tr>
            <w:tr>
              <w:tc>
                <w:tcPr>
                  <w:tcW w:type="dxa" w:w="470"/>
                  <w:tcBorders>
                    <w:top w:val="singl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398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岳旗寨开发用地东侧规划路</w:t>
                  </w:r>
                  <w:r>
                    <w:rPr>
                      <w:rFonts w:ascii="仿宋_GB2312" w:hAnsi="仿宋_GB2312" w:cs="仿宋_GB2312" w:eastAsia="仿宋_GB2312"/>
                      <w:sz w:val="24"/>
                    </w:rPr>
                    <w:t>（科技西路</w:t>
                  </w:r>
                  <w:r>
                    <w:rPr>
                      <w:rFonts w:ascii="仿宋_GB2312" w:hAnsi="仿宋_GB2312" w:cs="仿宋_GB2312" w:eastAsia="仿宋_GB2312"/>
                      <w:sz w:val="24"/>
                    </w:rPr>
                    <w:t>-鱼跃路）</w:t>
                  </w:r>
                </w:p>
              </w:tc>
            </w:tr>
            <w:tr>
              <w:tc>
                <w:tcPr>
                  <w:tcW w:type="dxa" w:w="470"/>
                  <w:tcBorders>
                    <w:top w:val="singl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3986"/>
                  <w:tcBorders>
                    <w:top w:val="singl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丁白西延伸提升（围墙）</w:t>
                  </w:r>
                </w:p>
              </w:tc>
            </w:tr>
          </w:tbl>
          <w:p>
            <w:pPr>
              <w:pStyle w:val="null3"/>
              <w:jc w:val="center"/>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拟建</w:t>
            </w:r>
            <w:r>
              <w:rPr>
                <w:rFonts w:ascii="仿宋_GB2312" w:hAnsi="仿宋_GB2312" w:cs="仿宋_GB2312" w:eastAsia="仿宋_GB2312"/>
                <w:sz w:val="24"/>
              </w:rPr>
              <w:t>7</w:t>
            </w:r>
            <w:r>
              <w:rPr>
                <w:rFonts w:ascii="仿宋_GB2312" w:hAnsi="仿宋_GB2312" w:cs="仿宋_GB2312" w:eastAsia="仿宋_GB2312"/>
                <w:sz w:val="24"/>
              </w:rPr>
              <w:t>个子项的岩土工程勘察，包括但不限于前期围挡、占道手续办理、青苗赔偿、场地协调、勘探点位地下管线调查、地裂缝调查等全部风险工作内容。</w:t>
            </w:r>
          </w:p>
          <w:p>
            <w:pPr>
              <w:pStyle w:val="null3"/>
              <w:ind w:firstLine="482"/>
              <w:jc w:val="both"/>
            </w:pPr>
            <w:r>
              <w:rPr>
                <w:rFonts w:ascii="仿宋_GB2312" w:hAnsi="仿宋_GB2312" w:cs="仿宋_GB2312" w:eastAsia="仿宋_GB2312"/>
                <w:sz w:val="24"/>
                <w:b/>
              </w:rPr>
              <w:t>三、技术要求</w:t>
            </w:r>
          </w:p>
          <w:p>
            <w:pPr>
              <w:pStyle w:val="null3"/>
              <w:jc w:val="center"/>
            </w:pPr>
            <w:r>
              <w:rPr>
                <w:rFonts w:ascii="仿宋_GB2312" w:hAnsi="仿宋_GB2312" w:cs="仿宋_GB2312" w:eastAsia="仿宋_GB2312"/>
                <w:sz w:val="24"/>
              </w:rPr>
              <w:t>市政道路</w:t>
            </w:r>
            <w:r>
              <w:rPr>
                <w:rFonts w:ascii="仿宋_GB2312" w:hAnsi="仿宋_GB2312" w:cs="仿宋_GB2312" w:eastAsia="仿宋_GB2312"/>
                <w:sz w:val="24"/>
              </w:rPr>
              <w:t>详细勘察技术要求表</w:t>
            </w:r>
          </w:p>
          <w:tbl>
            <w:tblPr>
              <w:tblBorders>
                <w:top w:val="none" w:color="000000" w:sz="4"/>
                <w:left w:val="none" w:color="000000" w:sz="4"/>
                <w:bottom w:val="none" w:color="000000" w:sz="4"/>
                <w:right w:val="none" w:color="000000" w:sz="4"/>
                <w:insideH w:val="none"/>
                <w:insideV w:val="none"/>
              </w:tblBorders>
            </w:tblPr>
            <w:tblGrid>
              <w:gridCol w:w="605"/>
              <w:gridCol w:w="696"/>
              <w:gridCol w:w="605"/>
              <w:gridCol w:w="519"/>
              <w:gridCol w:w="2037"/>
            </w:tblGrid>
            <w:tr>
              <w:tc>
                <w:tcPr>
                  <w:tcW w:type="dxa" w:w="605"/>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工程</w:t>
                  </w:r>
                </w:p>
                <w:p>
                  <w:pPr>
                    <w:pStyle w:val="null3"/>
                    <w:jc w:val="right"/>
                  </w:pPr>
                  <w:r>
                    <w:rPr>
                      <w:rFonts w:ascii="仿宋_GB2312" w:hAnsi="仿宋_GB2312" w:cs="仿宋_GB2312" w:eastAsia="仿宋_GB2312"/>
                      <w:sz w:val="21"/>
                    </w:rPr>
                    <w:t>名称</w:t>
                  </w:r>
                </w:p>
                <w:p>
                  <w:pPr>
                    <w:pStyle w:val="null3"/>
                    <w:jc w:val="both"/>
                  </w:pPr>
                  <w:r>
                    <w:rPr>
                      <w:rFonts w:ascii="仿宋_GB2312" w:hAnsi="仿宋_GB2312" w:cs="仿宋_GB2312" w:eastAsia="仿宋_GB2312"/>
                      <w:sz w:val="21"/>
                    </w:rPr>
                    <w:t>勘探</w:t>
                  </w:r>
                </w:p>
                <w:p>
                  <w:pPr>
                    <w:pStyle w:val="null3"/>
                    <w:jc w:val="both"/>
                  </w:pPr>
                  <w:r>
                    <w:rPr>
                      <w:rFonts w:ascii="仿宋_GB2312" w:hAnsi="仿宋_GB2312" w:cs="仿宋_GB2312" w:eastAsia="仿宋_GB2312"/>
                      <w:sz w:val="21"/>
                    </w:rPr>
                    <w:t>内容要求</w:t>
                  </w:r>
                </w:p>
              </w:tc>
              <w:tc>
                <w:tcPr>
                  <w:tcW w:type="dxa" w:w="1820"/>
                  <w:gridSpan w:val="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西安市雁塔区</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年市政道路勘察</w:t>
                  </w:r>
                </w:p>
              </w:tc>
              <w:tc>
                <w:tcPr>
                  <w:tcW w:type="dxa" w:w="2037"/>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w:t>
                  </w:r>
                  <w:r>
                    <w:rPr>
                      <w:rFonts w:ascii="仿宋_GB2312" w:hAnsi="仿宋_GB2312" w:cs="仿宋_GB2312" w:eastAsia="仿宋_GB2312"/>
                      <w:sz w:val="21"/>
                    </w:rPr>
                    <w:t xml:space="preserve">    </w:t>
                  </w:r>
                  <w:r>
                    <w:rPr>
                      <w:rFonts w:ascii="仿宋_GB2312" w:hAnsi="仿宋_GB2312" w:cs="仿宋_GB2312" w:eastAsia="仿宋_GB2312"/>
                      <w:sz w:val="21"/>
                    </w:rPr>
                    <w:t>注</w:t>
                  </w:r>
                </w:p>
              </w:tc>
            </w:tr>
            <w:tr>
              <w:tc>
                <w:tcPr>
                  <w:tcW w:type="dxa" w:w="605"/>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勘察</w:t>
                  </w:r>
                </w:p>
                <w:p>
                  <w:pPr>
                    <w:pStyle w:val="null3"/>
                    <w:jc w:val="center"/>
                  </w:pPr>
                  <w:r>
                    <w:rPr>
                      <w:rFonts w:ascii="仿宋_GB2312" w:hAnsi="仿宋_GB2312" w:cs="仿宋_GB2312" w:eastAsia="仿宋_GB2312"/>
                      <w:sz w:val="21"/>
                    </w:rPr>
                    <w:t>探孔</w:t>
                  </w:r>
                </w:p>
                <w:p>
                  <w:pPr>
                    <w:pStyle w:val="null3"/>
                    <w:jc w:val="center"/>
                  </w:pPr>
                  <w:r>
                    <w:rPr>
                      <w:rFonts w:ascii="仿宋_GB2312" w:hAnsi="仿宋_GB2312" w:cs="仿宋_GB2312" w:eastAsia="仿宋_GB2312"/>
                      <w:sz w:val="21"/>
                    </w:rPr>
                    <w:t>布置</w:t>
                  </w:r>
                </w:p>
                <w:p>
                  <w:pPr>
                    <w:pStyle w:val="null3"/>
                    <w:jc w:val="center"/>
                  </w:pPr>
                  <w:r>
                    <w:rPr>
                      <w:rFonts w:ascii="仿宋_GB2312" w:hAnsi="仿宋_GB2312" w:cs="仿宋_GB2312" w:eastAsia="仿宋_GB2312"/>
                      <w:sz w:val="21"/>
                    </w:rPr>
                    <w:t>要求</w:t>
                  </w:r>
                </w:p>
              </w:tc>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管道埋</w:t>
                  </w:r>
                </w:p>
                <w:p>
                  <w:pPr>
                    <w:pStyle w:val="null3"/>
                    <w:jc w:val="center"/>
                  </w:pPr>
                  <w:r>
                    <w:rPr>
                      <w:rFonts w:ascii="仿宋_GB2312" w:hAnsi="仿宋_GB2312" w:cs="仿宋_GB2312" w:eastAsia="仿宋_GB2312"/>
                      <w:sz w:val="21"/>
                    </w:rPr>
                    <w:t>设类型</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场地类别</w:t>
                  </w:r>
                </w:p>
                <w:p>
                  <w:pPr>
                    <w:pStyle w:val="null3"/>
                    <w:jc w:val="both"/>
                  </w:pPr>
                  <w:r>
                    <w:rPr>
                      <w:rFonts w:ascii="仿宋_GB2312" w:hAnsi="仿宋_GB2312" w:cs="仿宋_GB2312" w:eastAsia="仿宋_GB2312"/>
                      <w:sz w:val="21"/>
                    </w:rPr>
                    <w:t>(Ⅰ)(Ⅱ)(Ⅲ)</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探孔间距</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m）</w:t>
                  </w:r>
                </w:p>
              </w:tc>
              <w:tc>
                <w:tcPr>
                  <w:tcW w:type="dxa" w:w="2037"/>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1、勘探范围详见设计分段说明部分；</w:t>
                  </w:r>
                </w:p>
                <w:p>
                  <w:pPr>
                    <w:pStyle w:val="null3"/>
                    <w:jc w:val="both"/>
                  </w:pPr>
                  <w:r>
                    <w:rPr>
                      <w:rFonts w:ascii="仿宋_GB2312" w:hAnsi="仿宋_GB2312" w:cs="仿宋_GB2312" w:eastAsia="仿宋_GB2312"/>
                      <w:sz w:val="21"/>
                    </w:rPr>
                    <w:t>2、管道穿越暗埋的沟、坑地段和可能产生流沙和地震液化的地段，勘探孔应予以加密；</w:t>
                  </w:r>
                </w:p>
                <w:p>
                  <w:pPr>
                    <w:pStyle w:val="null3"/>
                    <w:jc w:val="both"/>
                  </w:pPr>
                  <w:r>
                    <w:rPr>
                      <w:rFonts w:ascii="仿宋_GB2312" w:hAnsi="仿宋_GB2312" w:cs="仿宋_GB2312" w:eastAsia="仿宋_GB2312"/>
                      <w:sz w:val="21"/>
                    </w:rPr>
                    <w:t>3、当线路通过含有有机质的垃圾、疏松的杂填土、未经沉实的近期回填土以及软土分布地段时，应查明其分布范围，勘探孔间距宜控制在20～40m；</w:t>
                  </w:r>
                </w:p>
                <w:p>
                  <w:pPr>
                    <w:pStyle w:val="null3"/>
                    <w:jc w:val="both"/>
                  </w:pPr>
                  <w:r>
                    <w:rPr>
                      <w:rFonts w:ascii="仿宋_GB2312" w:hAnsi="仿宋_GB2312" w:cs="仿宋_GB2312" w:eastAsia="仿宋_GB2312"/>
                      <w:sz w:val="21"/>
                    </w:rPr>
                    <w:t>4、正常路段探孔间距根据规范要求控制。</w:t>
                  </w:r>
                </w:p>
                <w:p>
                  <w:pPr>
                    <w:pStyle w:val="null3"/>
                    <w:jc w:val="both"/>
                  </w:pPr>
                  <w:r>
                    <w:rPr>
                      <w:rFonts w:ascii="仿宋_GB2312" w:hAnsi="仿宋_GB2312" w:cs="仿宋_GB2312" w:eastAsia="仿宋_GB2312"/>
                      <w:sz w:val="21"/>
                    </w:rPr>
                    <w:t>5、如地质情况复杂经设计人员同意可加密钻孔 。</w:t>
                  </w:r>
                </w:p>
              </w:tc>
            </w:tr>
            <w:tr>
              <w:tc>
                <w:tcPr>
                  <w:tcW w:type="dxa" w:w="605"/>
                  <w:vMerge/>
                  <w:tcBorders>
                    <w:top w:val="single" w:color="000000" w:sz="4"/>
                    <w:left w:val="single" w:color="000000" w:sz="8"/>
                    <w:bottom w:val="single" w:color="000000" w:sz="4"/>
                    <w:right w:val="single" w:color="000000" w:sz="4"/>
                  </w:tcBorders>
                </w:tcPr>
                <w:p/>
              </w:tc>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明挖管道</w:t>
                  </w:r>
                  <w:r>
                    <w:rPr>
                      <w:rFonts w:ascii="仿宋_GB2312" w:hAnsi="仿宋_GB2312" w:cs="仿宋_GB2312" w:eastAsia="仿宋_GB2312"/>
                      <w:sz w:val="21"/>
                    </w:rPr>
                    <w:t>(管底埋深小于5m)</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Ⅱ</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100~150</w:t>
                  </w:r>
                </w:p>
              </w:tc>
              <w:tc>
                <w:tcPr>
                  <w:tcW w:type="dxa" w:w="2037"/>
                  <w:vMerge/>
                  <w:tcBorders>
                    <w:top w:val="single" w:color="000000" w:sz="4"/>
                    <w:left w:val="single" w:color="000000" w:sz="4"/>
                    <w:bottom w:val="single" w:color="000000" w:sz="4"/>
                    <w:right w:val="single" w:color="000000" w:sz="8"/>
                  </w:tcBorders>
                </w:tcPr>
                <w:p/>
              </w:tc>
            </w:tr>
            <w:tr>
              <w:tc>
                <w:tcPr>
                  <w:tcW w:type="dxa" w:w="605"/>
                  <w:vMerge/>
                  <w:tcBorders>
                    <w:top w:val="single" w:color="000000" w:sz="4"/>
                    <w:left w:val="single" w:color="000000" w:sz="8"/>
                    <w:bottom w:val="single" w:color="000000" w:sz="4"/>
                    <w:right w:val="single" w:color="000000" w:sz="4"/>
                  </w:tcBorders>
                </w:tcPr>
                <w:p/>
              </w:tc>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明挖管道</w:t>
                  </w:r>
                  <w:r>
                    <w:rPr>
                      <w:rFonts w:ascii="仿宋_GB2312" w:hAnsi="仿宋_GB2312" w:cs="仿宋_GB2312" w:eastAsia="仿宋_GB2312"/>
                      <w:sz w:val="21"/>
                    </w:rPr>
                    <w:t>(管底埋深5m</w:t>
                  </w:r>
                  <w:r>
                    <w:rPr>
                      <w:rFonts w:ascii="仿宋_GB2312" w:hAnsi="仿宋_GB2312" w:cs="仿宋_GB2312" w:eastAsia="仿宋_GB2312"/>
                      <w:sz w:val="21"/>
                    </w:rPr>
                    <w:t>~8m</w:t>
                  </w:r>
                  <w:r>
                    <w:rPr>
                      <w:rFonts w:ascii="仿宋_GB2312" w:hAnsi="仿宋_GB2312" w:cs="仿宋_GB2312" w:eastAsia="仿宋_GB2312"/>
                      <w:sz w:val="21"/>
                    </w:rPr>
                    <w:t>)</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Ⅱ</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75~100</w:t>
                  </w:r>
                </w:p>
              </w:tc>
              <w:tc>
                <w:tcPr>
                  <w:tcW w:type="dxa" w:w="2037"/>
                  <w:vMerge/>
                  <w:tcBorders>
                    <w:top w:val="single" w:color="000000" w:sz="4"/>
                    <w:left w:val="single" w:color="000000" w:sz="4"/>
                    <w:bottom w:val="single" w:color="000000" w:sz="4"/>
                    <w:right w:val="single" w:color="000000" w:sz="8"/>
                  </w:tcBorders>
                </w:tcPr>
                <w:p/>
              </w:tc>
            </w:tr>
            <w:tr>
              <w:tc>
                <w:tcPr>
                  <w:tcW w:type="dxa" w:w="605"/>
                  <w:vMerge/>
                  <w:tcBorders>
                    <w:top w:val="single" w:color="000000" w:sz="4"/>
                    <w:left w:val="single" w:color="000000" w:sz="8"/>
                    <w:bottom w:val="single" w:color="000000" w:sz="4"/>
                    <w:right w:val="single" w:color="000000" w:sz="4"/>
                  </w:tcBorders>
                </w:tcPr>
                <w:p/>
              </w:tc>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明挖管道</w:t>
                  </w:r>
                  <w:r>
                    <w:rPr>
                      <w:rFonts w:ascii="仿宋_GB2312" w:hAnsi="仿宋_GB2312" w:cs="仿宋_GB2312" w:eastAsia="仿宋_GB2312"/>
                      <w:sz w:val="21"/>
                    </w:rPr>
                    <w:t>(管底埋深大于8m)</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37"/>
                  <w:vMerge/>
                  <w:tcBorders>
                    <w:top w:val="single" w:color="000000" w:sz="4"/>
                    <w:left w:val="single" w:color="000000" w:sz="4"/>
                    <w:bottom w:val="single" w:color="000000" w:sz="4"/>
                    <w:right w:val="single" w:color="000000" w:sz="8"/>
                  </w:tcBorders>
                </w:tcPr>
                <w:p/>
              </w:tc>
            </w:tr>
            <w:tr>
              <w:tc>
                <w:tcPr>
                  <w:tcW w:type="dxa" w:w="605"/>
                  <w:vMerge/>
                  <w:tcBorders>
                    <w:top w:val="single" w:color="000000" w:sz="4"/>
                    <w:left w:val="single" w:color="000000" w:sz="8"/>
                    <w:bottom w:val="single" w:color="000000" w:sz="4"/>
                    <w:right w:val="single" w:color="000000" w:sz="4"/>
                  </w:tcBorders>
                </w:tcPr>
                <w:p/>
              </w:tc>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顶管、定向钻施工管道</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Ⅰ</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30~60</w:t>
                  </w:r>
                </w:p>
              </w:tc>
              <w:tc>
                <w:tcPr>
                  <w:tcW w:type="dxa" w:w="2037"/>
                  <w:vMerge/>
                  <w:tcBorders>
                    <w:top w:val="single" w:color="000000" w:sz="4"/>
                    <w:left w:val="single" w:color="000000" w:sz="4"/>
                    <w:bottom w:val="single" w:color="000000" w:sz="4"/>
                    <w:right w:val="single" w:color="000000" w:sz="8"/>
                  </w:tcBorders>
                </w:tcPr>
                <w:p/>
              </w:tc>
            </w:tr>
            <w:tr>
              <w:tc>
                <w:tcPr>
                  <w:tcW w:type="dxa" w:w="6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勘察</w:t>
                  </w:r>
                </w:p>
                <w:p>
                  <w:pPr>
                    <w:pStyle w:val="null3"/>
                    <w:jc w:val="center"/>
                  </w:pPr>
                  <w:r>
                    <w:rPr>
                      <w:rFonts w:ascii="仿宋_GB2312" w:hAnsi="仿宋_GB2312" w:cs="仿宋_GB2312" w:eastAsia="仿宋_GB2312"/>
                      <w:sz w:val="21"/>
                    </w:rPr>
                    <w:t>探孔</w:t>
                  </w:r>
                </w:p>
                <w:p>
                  <w:pPr>
                    <w:pStyle w:val="null3"/>
                    <w:jc w:val="center"/>
                  </w:pPr>
                  <w:r>
                    <w:rPr>
                      <w:rFonts w:ascii="仿宋_GB2312" w:hAnsi="仿宋_GB2312" w:cs="仿宋_GB2312" w:eastAsia="仿宋_GB2312"/>
                      <w:sz w:val="21"/>
                    </w:rPr>
                    <w:t>深度</w:t>
                  </w:r>
                </w:p>
                <w:p>
                  <w:pPr>
                    <w:pStyle w:val="null3"/>
                    <w:jc w:val="center"/>
                  </w:pPr>
                  <w:r>
                    <w:rPr>
                      <w:rFonts w:ascii="仿宋_GB2312" w:hAnsi="仿宋_GB2312" w:cs="仿宋_GB2312" w:eastAsia="仿宋_GB2312"/>
                      <w:sz w:val="21"/>
                    </w:rPr>
                    <w:t>要求</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m）</w:t>
                  </w:r>
                </w:p>
              </w:tc>
              <w:tc>
                <w:tcPr>
                  <w:tcW w:type="dxa" w:w="182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1、道路规划红线范围内探孔深度应从设计路面高程以下计算。</w:t>
                  </w:r>
                </w:p>
                <w:p>
                  <w:pPr>
                    <w:pStyle w:val="null3"/>
                    <w:jc w:val="both"/>
                  </w:pPr>
                  <w:r>
                    <w:rPr>
                      <w:rFonts w:ascii="仿宋_GB2312" w:hAnsi="仿宋_GB2312" w:cs="仿宋_GB2312" w:eastAsia="仿宋_GB2312"/>
                      <w:sz w:val="21"/>
                    </w:rPr>
                    <w:t>2、勘探孔深度至设计路面高程以下不小于14m；</w:t>
                  </w:r>
                </w:p>
                <w:p>
                  <w:pPr>
                    <w:pStyle w:val="null3"/>
                    <w:jc w:val="both"/>
                  </w:pPr>
                  <w:r>
                    <w:rPr>
                      <w:rFonts w:ascii="仿宋_GB2312" w:hAnsi="仿宋_GB2312" w:cs="仿宋_GB2312" w:eastAsia="仿宋_GB2312"/>
                      <w:sz w:val="21"/>
                    </w:rPr>
                    <w:t>3、探孔呈梅花状交错布置。</w:t>
                  </w:r>
                </w:p>
                <w:p>
                  <w:pPr>
                    <w:pStyle w:val="null3"/>
                    <w:jc w:val="both"/>
                  </w:pPr>
                  <w:r>
                    <w:rPr>
                      <w:rFonts w:ascii="仿宋_GB2312" w:hAnsi="仿宋_GB2312" w:cs="仿宋_GB2312" w:eastAsia="仿宋_GB2312"/>
                      <w:sz w:val="21"/>
                    </w:rPr>
                    <w:t>4、桥梁段钻孔位置深度以设计单位的具体要求为准，勘探孔深度不超过35米。</w:t>
                  </w:r>
                </w:p>
              </w:tc>
              <w:tc>
                <w:tcPr>
                  <w:tcW w:type="dxa" w:w="20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遇有下列情况之一时，应适当增加勘探孔深度：</w:t>
                  </w:r>
                </w:p>
                <w:p>
                  <w:pPr>
                    <w:pStyle w:val="null3"/>
                    <w:jc w:val="both"/>
                  </w:pPr>
                  <w:r>
                    <w:rPr>
                      <w:rFonts w:ascii="仿宋_GB2312" w:hAnsi="仿宋_GB2312" w:cs="仿宋_GB2312" w:eastAsia="仿宋_GB2312"/>
                      <w:sz w:val="21"/>
                    </w:rPr>
                    <w:t>1、如孔位所在地形起伏较大，需适当增加探孔深度。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、当线路通过含有有机质的垃圾、疏松的杂填土、未经沉实的近期回填土、软土和可液化土层（饱和砂土、粉土层）的地段时，勘探孔应钻穿该土层；</w:t>
                  </w:r>
                </w:p>
                <w:p>
                  <w:pPr>
                    <w:pStyle w:val="null3"/>
                    <w:jc w:val="both"/>
                  </w:pPr>
                  <w:r>
                    <w:rPr>
                      <w:rFonts w:ascii="仿宋_GB2312" w:hAnsi="仿宋_GB2312" w:cs="仿宋_GB2312" w:eastAsia="仿宋_GB2312"/>
                      <w:sz w:val="21"/>
                    </w:rPr>
                    <w:t>3、当基底下存在松软土层或未经沉实的回填土时，勘探孔深度应适当增加；</w:t>
                  </w:r>
                </w:p>
                <w:p>
                  <w:pPr>
                    <w:pStyle w:val="null3"/>
                    <w:jc w:val="both"/>
                  </w:pPr>
                  <w:r>
                    <w:rPr>
                      <w:rFonts w:ascii="仿宋_GB2312" w:hAnsi="仿宋_GB2312" w:cs="仿宋_GB2312" w:eastAsia="仿宋_GB2312"/>
                      <w:sz w:val="21"/>
                    </w:rPr>
                    <w:t>4、当基底下存在可能产生流沙、潜蚀、管涌或地震液化地层时，应予以钻穿；</w:t>
                  </w:r>
                </w:p>
                <w:p>
                  <w:pPr>
                    <w:pStyle w:val="null3"/>
                    <w:jc w:val="both"/>
                  </w:pPr>
                  <w:r>
                    <w:rPr>
                      <w:rFonts w:ascii="仿宋_GB2312" w:hAnsi="仿宋_GB2312" w:cs="仿宋_GB2312" w:eastAsia="仿宋_GB2312"/>
                      <w:sz w:val="21"/>
                    </w:rPr>
                    <w:t>5、当已有资料证明，或勘探过程中发现粘性土层下存在承压含水层，且其水头较高，需要降水施工时，勘探孔应适当加深，或钻穿承压含水层，并测量其水头；</w:t>
                  </w:r>
                </w:p>
                <w:p>
                  <w:pPr>
                    <w:pStyle w:val="null3"/>
                    <w:jc w:val="both"/>
                  </w:pPr>
                  <w:r>
                    <w:rPr>
                      <w:rFonts w:ascii="仿宋_GB2312" w:hAnsi="仿宋_GB2312" w:cs="仿宋_GB2312" w:eastAsia="仿宋_GB2312"/>
                      <w:sz w:val="21"/>
                    </w:rPr>
                    <w:t>6、当已有资料证明，在管道沿线地段的管基下平面分布厚度大于2m的密实土层，且无地下水的不良影响时，勘探孔钻至密实土层，以判明其岩性。</w:t>
                  </w:r>
                </w:p>
              </w:tc>
            </w:tr>
            <w:tr>
              <w:tc>
                <w:tcPr>
                  <w:tcW w:type="dxa" w:w="6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地裂缝</w:t>
                  </w:r>
                </w:p>
                <w:p>
                  <w:pPr>
                    <w:pStyle w:val="null3"/>
                    <w:jc w:val="center"/>
                  </w:pPr>
                  <w:r>
                    <w:rPr>
                      <w:rFonts w:ascii="仿宋_GB2312" w:hAnsi="仿宋_GB2312" w:cs="仿宋_GB2312" w:eastAsia="仿宋_GB2312"/>
                      <w:sz w:val="21"/>
                    </w:rPr>
                    <w:t>勘察</w:t>
                  </w:r>
                </w:p>
                <w:p>
                  <w:pPr>
                    <w:pStyle w:val="null3"/>
                    <w:jc w:val="center"/>
                  </w:pPr>
                  <w:r>
                    <w:rPr>
                      <w:rFonts w:ascii="仿宋_GB2312" w:hAnsi="仿宋_GB2312" w:cs="仿宋_GB2312" w:eastAsia="仿宋_GB2312"/>
                      <w:sz w:val="21"/>
                    </w:rPr>
                    <w:t>要求</w:t>
                  </w:r>
                </w:p>
              </w:tc>
              <w:tc>
                <w:tcPr>
                  <w:tcW w:type="dxa" w:w="182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调查</w:t>
                  </w:r>
                </w:p>
              </w:tc>
              <w:tc>
                <w:tcPr>
                  <w:tcW w:type="dxa" w:w="20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1、管道穿越地裂缝时，应查明地裂缝的性质、位置、走向、深度及范围；</w:t>
                  </w:r>
                </w:p>
                <w:p>
                  <w:pPr>
                    <w:pStyle w:val="null3"/>
                    <w:jc w:val="both"/>
                  </w:pPr>
                  <w:r>
                    <w:rPr>
                      <w:rFonts w:ascii="仿宋_GB2312" w:hAnsi="仿宋_GB2312" w:cs="仿宋_GB2312" w:eastAsia="仿宋_GB2312"/>
                      <w:sz w:val="21"/>
                    </w:rPr>
                    <w:t>2、应提供管道穿越地裂缝的基础加固或管道加固措施或建议。</w:t>
                  </w:r>
                </w:p>
              </w:tc>
            </w:tr>
            <w:tr>
              <w:tc>
                <w:tcPr>
                  <w:tcW w:type="dxa" w:w="6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对地质勘察工作内容及深度的要求</w:t>
                  </w:r>
                </w:p>
              </w:tc>
              <w:tc>
                <w:tcPr>
                  <w:tcW w:type="dxa" w:w="3857"/>
                  <w:gridSpan w:val="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地质勘察工作的内容及深度应满足中华人民共和国行业标准《市政工程勘察规范》（</w:t>
                  </w:r>
                  <w:r>
                    <w:rPr>
                      <w:rFonts w:ascii="仿宋_GB2312" w:hAnsi="仿宋_GB2312" w:cs="仿宋_GB2312" w:eastAsia="仿宋_GB2312"/>
                      <w:sz w:val="21"/>
                    </w:rPr>
                    <w:t>CJJ56-2012）有关规定要求</w:t>
                  </w:r>
                </w:p>
              </w:tc>
            </w:tr>
            <w:tr>
              <w:tc>
                <w:tcPr>
                  <w:tcW w:type="dxa" w:w="605"/>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重点分析评价内容</w:t>
                  </w:r>
                </w:p>
              </w:tc>
              <w:tc>
                <w:tcPr>
                  <w:tcW w:type="dxa" w:w="3857"/>
                  <w:gridSpan w:val="4"/>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地基土承载力、回填模量、容重、密实度、粘聚力、内摩擦角、塑限、液限、路床顶面含水量等参数以及</w:t>
                  </w:r>
                  <w:r>
                    <w:rPr>
                      <w:rFonts w:ascii="仿宋_GB2312" w:hAnsi="仿宋_GB2312" w:cs="仿宋_GB2312" w:eastAsia="仿宋_GB2312"/>
                      <w:sz w:val="21"/>
                    </w:rPr>
                    <w:t>岩土分布特征、路基干湿类型，提供道路设计所需的岩土参数；</w:t>
                  </w:r>
                </w:p>
                <w:p>
                  <w:pPr>
                    <w:pStyle w:val="null3"/>
                  </w:pPr>
                  <w:r>
                    <w:rPr>
                      <w:rFonts w:ascii="仿宋_GB2312" w:hAnsi="仿宋_GB2312" w:cs="仿宋_GB2312" w:eastAsia="仿宋_GB2312"/>
                      <w:sz w:val="21"/>
                    </w:rPr>
                    <w:t>2、</w:t>
                  </w:r>
                  <w:r>
                    <w:rPr>
                      <w:rFonts w:ascii="仿宋_GB2312" w:hAnsi="仿宋_GB2312" w:cs="仿宋_GB2312" w:eastAsia="仿宋_GB2312"/>
                      <w:sz w:val="21"/>
                    </w:rPr>
                    <w:t>地下水分布、变化规律和地表水情况，分析评价对工程的不利影响；</w:t>
                  </w:r>
                </w:p>
                <w:p>
                  <w:pPr>
                    <w:pStyle w:val="null3"/>
                  </w:pPr>
                  <w:r>
                    <w:rPr>
                      <w:rFonts w:ascii="仿宋_GB2312" w:hAnsi="仿宋_GB2312" w:cs="仿宋_GB2312" w:eastAsia="仿宋_GB2312"/>
                      <w:sz w:val="21"/>
                    </w:rPr>
                    <w:t>3、</w:t>
                  </w:r>
                  <w:r>
                    <w:rPr>
                      <w:rFonts w:ascii="仿宋_GB2312" w:hAnsi="仿宋_GB2312" w:cs="仿宋_GB2312" w:eastAsia="仿宋_GB2312"/>
                      <w:sz w:val="21"/>
                    </w:rPr>
                    <w:t>工程地质、水文地质条件变化较大时，应进行区分评价；</w:t>
                  </w:r>
                </w:p>
                <w:p>
                  <w:pPr>
                    <w:pStyle w:val="null3"/>
                  </w:pPr>
                  <w:r>
                    <w:rPr>
                      <w:rFonts w:ascii="仿宋_GB2312" w:hAnsi="仿宋_GB2312" w:cs="仿宋_GB2312" w:eastAsia="仿宋_GB2312"/>
                      <w:sz w:val="21"/>
                    </w:rPr>
                    <w:t>4、</w:t>
                  </w:r>
                  <w:r>
                    <w:rPr>
                      <w:rFonts w:ascii="仿宋_GB2312" w:hAnsi="仿宋_GB2312" w:cs="仿宋_GB2312" w:eastAsia="仿宋_GB2312"/>
                      <w:sz w:val="21"/>
                    </w:rPr>
                    <w:t>挖方路段的地貌类型、地形起伏变化情况及横向坡度、斜坡的自然稳定性；</w:t>
                  </w:r>
                </w:p>
                <w:p>
                  <w:pPr>
                    <w:pStyle w:val="null3"/>
                  </w:pPr>
                  <w:r>
                    <w:rPr>
                      <w:rFonts w:ascii="仿宋_GB2312" w:hAnsi="仿宋_GB2312" w:cs="仿宋_GB2312" w:eastAsia="仿宋_GB2312"/>
                      <w:sz w:val="21"/>
                    </w:rPr>
                    <w:t>5、</w:t>
                  </w:r>
                  <w:r>
                    <w:rPr>
                      <w:rFonts w:ascii="仿宋_GB2312" w:hAnsi="仿宋_GB2312" w:cs="仿宋_GB2312" w:eastAsia="仿宋_GB2312"/>
                      <w:sz w:val="21"/>
                    </w:rPr>
                    <w:t>岩、土的物理力学性质，控制边坡稳定的结构面抗剪强度；</w:t>
                  </w:r>
                </w:p>
                <w:p>
                  <w:pPr>
                    <w:pStyle w:val="null3"/>
                  </w:pPr>
                  <w:r>
                    <w:rPr>
                      <w:rFonts w:ascii="仿宋_GB2312" w:hAnsi="仿宋_GB2312" w:cs="仿宋_GB2312" w:eastAsia="仿宋_GB2312"/>
                      <w:sz w:val="21"/>
                    </w:rPr>
                    <w:t>6、</w:t>
                  </w:r>
                  <w:r>
                    <w:rPr>
                      <w:rFonts w:ascii="仿宋_GB2312" w:hAnsi="仿宋_GB2312" w:cs="仿宋_GB2312" w:eastAsia="仿宋_GB2312"/>
                      <w:sz w:val="21"/>
                    </w:rPr>
                    <w:t>查明是否存在湿陷性黄土，若果存在，则查明湿陷性等级，并提出处理措施；</w:t>
                  </w:r>
                </w:p>
                <w:p>
                  <w:pPr>
                    <w:pStyle w:val="null3"/>
                  </w:pPr>
                  <w:r>
                    <w:rPr>
                      <w:rFonts w:ascii="仿宋_GB2312" w:hAnsi="仿宋_GB2312" w:cs="仿宋_GB2312" w:eastAsia="仿宋_GB2312"/>
                      <w:sz w:val="21"/>
                    </w:rPr>
                    <w:t>7、</w:t>
                  </w:r>
                  <w:r>
                    <w:rPr>
                      <w:rFonts w:ascii="仿宋_GB2312" w:hAnsi="仿宋_GB2312" w:cs="仿宋_GB2312" w:eastAsia="仿宋_GB2312"/>
                      <w:sz w:val="21"/>
                    </w:rPr>
                    <w:t>应提出管道顶管施工可行性、管道开槽施工建议边坡和边坡防护措施；</w:t>
                  </w:r>
                </w:p>
                <w:p>
                  <w:pPr>
                    <w:pStyle w:val="null3"/>
                  </w:pPr>
                  <w:r>
                    <w:rPr>
                      <w:rFonts w:ascii="仿宋_GB2312" w:hAnsi="仿宋_GB2312" w:cs="仿宋_GB2312" w:eastAsia="仿宋_GB2312"/>
                      <w:sz w:val="21"/>
                    </w:rPr>
                    <w:t>8、</w:t>
                  </w:r>
                  <w:r>
                    <w:rPr>
                      <w:rFonts w:ascii="仿宋_GB2312" w:hAnsi="仿宋_GB2312" w:cs="仿宋_GB2312" w:eastAsia="仿宋_GB2312"/>
                      <w:sz w:val="21"/>
                    </w:rPr>
                    <w:t>查明是否存在不良地基以及垃圾坑；</w:t>
                  </w:r>
                </w:p>
                <w:p>
                  <w:pPr>
                    <w:pStyle w:val="null3"/>
                  </w:pPr>
                  <w:r>
                    <w:rPr>
                      <w:rFonts w:ascii="仿宋_GB2312" w:hAnsi="仿宋_GB2312" w:cs="仿宋_GB2312" w:eastAsia="仿宋_GB2312"/>
                      <w:sz w:val="21"/>
                    </w:rPr>
                    <w:t>9、</w:t>
                  </w:r>
                  <w:r>
                    <w:rPr>
                      <w:rFonts w:ascii="仿宋_GB2312" w:hAnsi="仿宋_GB2312" w:cs="仿宋_GB2312" w:eastAsia="仿宋_GB2312"/>
                      <w:sz w:val="21"/>
                    </w:rPr>
                    <w:t>查明路基土最佳含水量和最大干密度；</w:t>
                  </w:r>
                </w:p>
                <w:p>
                  <w:pPr>
                    <w:pStyle w:val="null3"/>
                  </w:pPr>
                  <w:r>
                    <w:rPr>
                      <w:rFonts w:ascii="仿宋_GB2312" w:hAnsi="仿宋_GB2312" w:cs="仿宋_GB2312" w:eastAsia="仿宋_GB2312"/>
                      <w:sz w:val="21"/>
                    </w:rPr>
                    <w:t>10、</w:t>
                  </w:r>
                  <w:r>
                    <w:rPr>
                      <w:rFonts w:ascii="仿宋_GB2312" w:hAnsi="仿宋_GB2312" w:cs="仿宋_GB2312" w:eastAsia="仿宋_GB2312"/>
                      <w:sz w:val="21"/>
                    </w:rPr>
                    <w:t>场地区域最大降雨强度和二十年一遇最大降水量；</w:t>
                  </w:r>
                </w:p>
                <w:p>
                  <w:pPr>
                    <w:pStyle w:val="null3"/>
                  </w:pPr>
                  <w:r>
                    <w:rPr>
                      <w:rFonts w:ascii="仿宋_GB2312" w:hAnsi="仿宋_GB2312" w:cs="仿宋_GB2312" w:eastAsia="仿宋_GB2312"/>
                      <w:sz w:val="21"/>
                    </w:rPr>
                    <w:t>11、</w:t>
                  </w:r>
                  <w:r>
                    <w:rPr>
                      <w:rFonts w:ascii="仿宋_GB2312" w:hAnsi="仿宋_GB2312" w:cs="仿宋_GB2312" w:eastAsia="仿宋_GB2312"/>
                      <w:sz w:val="21"/>
                    </w:rPr>
                    <w:t>查清桥墩、台范围地下设施现状，地下埋设物（雨污水管、天然气、电力通讯等）的分布位置、埋深、管径。</w:t>
                  </w:r>
                </w:p>
                <w:p>
                  <w:pPr>
                    <w:pStyle w:val="null3"/>
                    <w:jc w:val="both"/>
                  </w:pPr>
                  <w:r>
                    <w:rPr>
                      <w:rFonts w:ascii="仿宋_GB2312" w:hAnsi="仿宋_GB2312" w:cs="仿宋_GB2312" w:eastAsia="仿宋_GB2312"/>
                      <w:sz w:val="21"/>
                    </w:rPr>
                    <w:t>12、对边坡工程产生影响的汇水面积、排水坡度、长度和植被情况等。</w:t>
                  </w:r>
                </w:p>
              </w:tc>
            </w:tr>
          </w:tbl>
          <w:p>
            <w:pPr>
              <w:pStyle w:val="null3"/>
              <w:ind w:firstLine="482"/>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1、有效工期：</w:t>
            </w:r>
            <w:r>
              <w:rPr>
                <w:rFonts w:ascii="仿宋_GB2312" w:hAnsi="仿宋_GB2312" w:cs="仿宋_GB2312" w:eastAsia="仿宋_GB2312"/>
                <w:sz w:val="24"/>
              </w:rPr>
              <w:t>单项或多项勘察自设备进场之日起</w:t>
            </w:r>
            <w:r>
              <w:rPr>
                <w:rFonts w:ascii="仿宋_GB2312" w:hAnsi="仿宋_GB2312" w:cs="仿宋_GB2312" w:eastAsia="仿宋_GB2312"/>
                <w:sz w:val="24"/>
              </w:rPr>
              <w:t>15日内提交完整的勘察报告。</w:t>
            </w:r>
          </w:p>
          <w:p>
            <w:pPr>
              <w:pStyle w:val="null3"/>
              <w:ind w:firstLine="480"/>
              <w:jc w:val="both"/>
            </w:pPr>
            <w:r>
              <w:rPr>
                <w:rFonts w:ascii="仿宋_GB2312" w:hAnsi="仿宋_GB2312" w:cs="仿宋_GB2312" w:eastAsia="仿宋_GB2312"/>
                <w:sz w:val="24"/>
              </w:rPr>
              <w:t>2、供应商提供的服务，必须是符合国家有关标准要求，并满足磋商文件规定的价格、完成期限、售后服务及供应商须承担的技术支持和磋商文件规定的其它伴随服务等要求。</w:t>
            </w:r>
          </w:p>
          <w:p>
            <w:pPr>
              <w:pStyle w:val="null3"/>
              <w:ind w:firstLine="480"/>
              <w:jc w:val="both"/>
            </w:pPr>
            <w:r>
              <w:rPr>
                <w:rFonts w:ascii="仿宋_GB2312" w:hAnsi="仿宋_GB2312" w:cs="仿宋_GB2312" w:eastAsia="仿宋_GB2312"/>
                <w:sz w:val="24"/>
              </w:rPr>
              <w:t>3、采购人有权拒绝接受任何不合格的服务，由此产生的费用及相关后果均由供应商自行承担。</w:t>
            </w:r>
          </w:p>
          <w:p>
            <w:pPr>
              <w:pStyle w:val="null3"/>
              <w:ind w:firstLine="482"/>
              <w:jc w:val="both"/>
            </w:pPr>
            <w:r>
              <w:rPr>
                <w:rFonts w:ascii="仿宋_GB2312" w:hAnsi="仿宋_GB2312" w:cs="仿宋_GB2312" w:eastAsia="仿宋_GB2312"/>
                <w:sz w:val="24"/>
                <w:b/>
              </w:rPr>
              <w:t>五、付款方式、依据</w:t>
            </w:r>
          </w:p>
          <w:p>
            <w:pPr>
              <w:pStyle w:val="null3"/>
              <w:ind w:firstLine="480"/>
              <w:jc w:val="both"/>
            </w:pPr>
            <w:r>
              <w:rPr>
                <w:rFonts w:ascii="仿宋_GB2312" w:hAnsi="仿宋_GB2312" w:cs="仿宋_GB2312" w:eastAsia="仿宋_GB2312"/>
                <w:sz w:val="24"/>
              </w:rPr>
              <w:t>1、付款方式：</w:t>
            </w:r>
            <w:r>
              <w:rPr>
                <w:rFonts w:ascii="仿宋_GB2312" w:hAnsi="仿宋_GB2312" w:cs="仿宋_GB2312" w:eastAsia="仿宋_GB2312"/>
                <w:sz w:val="24"/>
              </w:rPr>
              <w:t>合同签订后首次支付合同总价款的</w:t>
            </w:r>
            <w:r>
              <w:rPr>
                <w:rFonts w:ascii="仿宋_GB2312" w:hAnsi="仿宋_GB2312" w:cs="仿宋_GB2312" w:eastAsia="仿宋_GB2312"/>
                <w:sz w:val="24"/>
              </w:rPr>
              <w:t>25%，提供勘察报告后支付合同总价款的65%，施工图审查合格后支付剩余合同总价款的10%。</w:t>
            </w:r>
          </w:p>
          <w:p>
            <w:pPr>
              <w:pStyle w:val="null3"/>
              <w:ind w:firstLine="480"/>
              <w:jc w:val="both"/>
            </w:pPr>
            <w:r>
              <w:rPr>
                <w:rFonts w:ascii="仿宋_GB2312" w:hAnsi="仿宋_GB2312" w:cs="仿宋_GB2312" w:eastAsia="仿宋_GB2312"/>
                <w:sz w:val="24"/>
              </w:rPr>
              <w:t>2、付款依据：乙方提供等额发票。</w:t>
            </w:r>
          </w:p>
          <w:p>
            <w:pPr>
              <w:pStyle w:val="null3"/>
              <w:ind w:firstLine="482"/>
              <w:jc w:val="both"/>
            </w:pPr>
            <w:r>
              <w:rPr>
                <w:rFonts w:ascii="仿宋_GB2312" w:hAnsi="仿宋_GB2312" w:cs="仿宋_GB2312" w:eastAsia="仿宋_GB2312"/>
                <w:sz w:val="24"/>
                <w:b/>
              </w:rPr>
              <w:t>六、商务要求：</w:t>
            </w:r>
          </w:p>
          <w:p>
            <w:pPr>
              <w:pStyle w:val="null3"/>
              <w:ind w:right="-105" w:firstLine="482"/>
              <w:jc w:val="both"/>
            </w:pPr>
            <w:r>
              <w:rPr>
                <w:rFonts w:ascii="仿宋_GB2312" w:hAnsi="仿宋_GB2312" w:cs="仿宋_GB2312" w:eastAsia="仿宋_GB2312"/>
                <w:sz w:val="24"/>
                <w:b/>
                <w:color w:val="000000"/>
              </w:rPr>
              <w:t>（一）价格：</w:t>
            </w:r>
          </w:p>
          <w:p>
            <w:pPr>
              <w:pStyle w:val="null3"/>
              <w:ind w:right="-105" w:firstLine="480"/>
              <w:jc w:val="both"/>
            </w:pPr>
            <w:r>
              <w:rPr>
                <w:rFonts w:ascii="仿宋_GB2312" w:hAnsi="仿宋_GB2312" w:cs="仿宋_GB2312" w:eastAsia="仿宋_GB2312"/>
                <w:sz w:val="24"/>
                <w:color w:val="000000"/>
              </w:rPr>
              <w:t>1.合同价包括：服务费、售后服务费、利润、税金、保险、相关伴随费用等的一切费用。</w:t>
            </w:r>
          </w:p>
          <w:p>
            <w:pPr>
              <w:pStyle w:val="null3"/>
              <w:ind w:right="-105" w:firstLine="480"/>
              <w:jc w:val="both"/>
            </w:pPr>
            <w:r>
              <w:rPr>
                <w:rFonts w:ascii="仿宋_GB2312" w:hAnsi="仿宋_GB2312" w:cs="仿宋_GB2312" w:eastAsia="仿宋_GB2312"/>
                <w:sz w:val="24"/>
                <w:color w:val="000000"/>
              </w:rPr>
              <w:t>2.合同有效期内，合同总价一次包死，不受国家政策性调价或原材料价格变化及外汇汇率变化的影响，并作为最终结算的唯一依据。</w:t>
            </w:r>
          </w:p>
          <w:p>
            <w:pPr>
              <w:pStyle w:val="null3"/>
              <w:ind w:right="-105" w:firstLine="480"/>
              <w:jc w:val="both"/>
            </w:pPr>
            <w:r>
              <w:rPr>
                <w:rFonts w:ascii="仿宋_GB2312" w:hAnsi="仿宋_GB2312" w:cs="仿宋_GB2312" w:eastAsia="仿宋_GB2312"/>
                <w:sz w:val="24"/>
                <w:color w:val="000000"/>
              </w:rPr>
              <w:t>3、服务承诺：供应商应遵照国家规范规定的技术服务内容及要求作出明确承诺。</w:t>
            </w:r>
          </w:p>
          <w:p>
            <w:pPr>
              <w:pStyle w:val="null3"/>
              <w:ind w:right="-105" w:firstLine="482"/>
              <w:jc w:val="both"/>
            </w:pPr>
            <w:r>
              <w:rPr>
                <w:rFonts w:ascii="仿宋_GB2312" w:hAnsi="仿宋_GB2312" w:cs="仿宋_GB2312" w:eastAsia="仿宋_GB2312"/>
                <w:sz w:val="24"/>
                <w:b/>
                <w:color w:val="000000"/>
              </w:rPr>
              <w:t>（二）质量安排排查保密要求：</w:t>
            </w:r>
          </w:p>
          <w:p>
            <w:pPr>
              <w:pStyle w:val="null3"/>
              <w:ind w:right="-105" w:firstLine="480"/>
              <w:jc w:val="both"/>
            </w:pPr>
            <w:r>
              <w:rPr>
                <w:rFonts w:ascii="仿宋_GB2312" w:hAnsi="仿宋_GB2312" w:cs="仿宋_GB2312" w:eastAsia="仿宋_GB2312"/>
                <w:sz w:val="24"/>
                <w:color w:val="000000"/>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w:t>
            </w:r>
            <w:r>
              <w:rPr>
                <w:rFonts w:ascii="仿宋_GB2312" w:hAnsi="仿宋_GB2312" w:cs="仿宋_GB2312" w:eastAsia="仿宋_GB2312"/>
                <w:sz w:val="24"/>
                <w:color w:val="000000"/>
              </w:rPr>
              <w:t>(包括刑事责任)。</w:t>
            </w:r>
          </w:p>
          <w:p>
            <w:pPr>
              <w:pStyle w:val="null3"/>
              <w:ind w:right="-105" w:firstLine="482"/>
              <w:jc w:val="both"/>
            </w:pPr>
            <w:r>
              <w:rPr>
                <w:rFonts w:ascii="仿宋_GB2312" w:hAnsi="仿宋_GB2312" w:cs="仿宋_GB2312" w:eastAsia="仿宋_GB2312"/>
                <w:sz w:val="24"/>
                <w:b/>
                <w:color w:val="000000"/>
              </w:rPr>
              <w:t>（三）质量保证：</w:t>
            </w:r>
          </w:p>
          <w:p>
            <w:pPr>
              <w:pStyle w:val="null3"/>
              <w:ind w:right="-105" w:firstLine="480"/>
              <w:jc w:val="both"/>
            </w:pPr>
            <w:r>
              <w:rPr>
                <w:rFonts w:ascii="仿宋_GB2312" w:hAnsi="仿宋_GB2312" w:cs="仿宋_GB2312" w:eastAsia="仿宋_GB2312"/>
                <w:sz w:val="24"/>
                <w:color w:val="000000"/>
              </w:rPr>
              <w:t>成交供应商保证服务质量完全符合合同规定的质量标准及国家有关规范和标准。</w:t>
            </w:r>
          </w:p>
          <w:p>
            <w:pPr>
              <w:pStyle w:val="null3"/>
              <w:ind w:right="-105" w:firstLine="480"/>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四）验收：</w:t>
            </w:r>
          </w:p>
          <w:p>
            <w:pPr>
              <w:pStyle w:val="null3"/>
              <w:ind w:right="-105" w:firstLine="480"/>
              <w:jc w:val="both"/>
            </w:pPr>
            <w:r>
              <w:rPr>
                <w:rFonts w:ascii="仿宋_GB2312" w:hAnsi="仿宋_GB2312" w:cs="仿宋_GB2312" w:eastAsia="仿宋_GB2312"/>
                <w:sz w:val="24"/>
                <w:color w:val="000000"/>
              </w:rPr>
              <w:t>1、成交供应商对最终的服务质量负完全责任。</w:t>
            </w:r>
          </w:p>
          <w:p>
            <w:pPr>
              <w:pStyle w:val="null3"/>
              <w:ind w:right="-105" w:firstLine="480"/>
              <w:jc w:val="both"/>
            </w:pPr>
            <w:r>
              <w:rPr>
                <w:rFonts w:ascii="仿宋_GB2312" w:hAnsi="仿宋_GB2312" w:cs="仿宋_GB2312" w:eastAsia="仿宋_GB2312"/>
                <w:sz w:val="24"/>
                <w:color w:val="000000"/>
              </w:rPr>
              <w:t>2、验收依据：</w:t>
            </w:r>
          </w:p>
          <w:p>
            <w:pPr>
              <w:pStyle w:val="null3"/>
              <w:ind w:right="-105"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w:t>
            </w:r>
          </w:p>
          <w:p>
            <w:pPr>
              <w:pStyle w:val="null3"/>
              <w:ind w:right="-105"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2）国家有关的验收标准及规范；</w:t>
            </w:r>
          </w:p>
          <w:p>
            <w:pPr>
              <w:pStyle w:val="null3"/>
              <w:ind w:right="-105"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3）竞争性磋商文件、竞争性磋商响应文件；</w:t>
            </w:r>
          </w:p>
          <w:p>
            <w:pPr>
              <w:pStyle w:val="null3"/>
              <w:ind w:right="-105" w:firstLine="482"/>
              <w:jc w:val="both"/>
            </w:pPr>
            <w:r>
              <w:rPr>
                <w:rFonts w:ascii="仿宋_GB2312" w:hAnsi="仿宋_GB2312" w:cs="仿宋_GB2312" w:eastAsia="仿宋_GB2312"/>
                <w:sz w:val="24"/>
                <w:b/>
                <w:color w:val="000000"/>
              </w:rPr>
              <w:t>（五）合同实施：</w:t>
            </w:r>
          </w:p>
          <w:p>
            <w:pPr>
              <w:pStyle w:val="null3"/>
              <w:ind w:right="-105" w:firstLine="480"/>
              <w:jc w:val="both"/>
            </w:pPr>
            <w:r>
              <w:rPr>
                <w:rFonts w:ascii="仿宋_GB2312" w:hAnsi="仿宋_GB2312" w:cs="仿宋_GB2312" w:eastAsia="仿宋_GB2312"/>
                <w:sz w:val="24"/>
                <w:color w:val="000000"/>
              </w:rPr>
              <w:t>1 、成交供应商应在合同签订后尽快安排人员与采购单位就服务工作进行安排、部署。</w:t>
            </w:r>
          </w:p>
          <w:p>
            <w:pPr>
              <w:pStyle w:val="null3"/>
              <w:ind w:right="-105" w:firstLine="480"/>
              <w:jc w:val="both"/>
            </w:pPr>
            <w:r>
              <w:rPr>
                <w:rFonts w:ascii="仿宋_GB2312" w:hAnsi="仿宋_GB2312" w:cs="仿宋_GB2312" w:eastAsia="仿宋_GB2312"/>
                <w:sz w:val="24"/>
                <w:color w:val="000000"/>
              </w:rPr>
              <w:t>2 、若因成交供应商原因未能在服务期内完成合同规定的义务，由此对采购人造成的延误和一切损失，由成交单位人承担和赔偿。</w:t>
            </w:r>
          </w:p>
          <w:p>
            <w:pPr>
              <w:pStyle w:val="null3"/>
              <w:ind w:right="-105" w:firstLine="482"/>
              <w:jc w:val="both"/>
            </w:pPr>
            <w:r>
              <w:rPr>
                <w:rFonts w:ascii="仿宋_GB2312" w:hAnsi="仿宋_GB2312" w:cs="仿宋_GB2312" w:eastAsia="仿宋_GB2312"/>
                <w:sz w:val="24"/>
                <w:b/>
                <w:color w:val="000000"/>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负责人具备【注册土木工程师（岩土）】执业资格，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1、供应商提供的服务，必须是符合国家有关标准要求，并满足磋商文件规定的价格、完成期限、售后服务及供应商须承担的技术支持和磋商文件规定的其它伴随服务等要求。 2、采购人有权拒绝接受任何不合格的服务，由此产生的费用及相关后果均由供应商自行承担。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单项或多项勘察自设备进场之日起15日内提交完整的勘察报告。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1、成交供应商对最终的服务质量负完全责任。2、验收依据：（1）合同；（2）国家有关的验收标准及规范；（3）竞争性磋商文件、竞争性磋商响应文件。（二）质量保证：成交供应商保证服务质量完全符合合同规定的质量标准及国家有关规范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提供勘察报告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施工图审查合格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如因乙方原因致使与本项目有关的任何信息被第三方知晓或可能知晓，乙方应赔偿因此给甲方造成的一切损失。2、由于乙方原因不能如期完成可行性研究报告编制的，乙方每延期一日应向甲方支付本合同总价款的千分之二的违约金。逾期5日，甲方有权解除合同。 3、若因乙方原因导致评审未通过，乙方除负责无条件修改、完善、补充报告及依本条第2款承担违约责任外，还应承担甲方因此造成的一切损失。（二）争议解决 1、和解 合同当事人可以就争议自行和解，自行和解达成协议的经双方签字并盖章后作为合同补充文件，双方均应遵照执行。2、调解 合同当事人可以就争议请求相关行政主管部门、行业协会或其他第三方进行调解，调解达成协议的，经双方签字并盖章后作为合同补充文件，双方均应遵照执行。 3、仲裁或诉讼 双方约定，凡因执行本合同所发生的与本合同有关的一切争议，当和解或调解不成时，选择下列第 (2) 种方式解决： （1）将争议提交 / 仲裁委员会仲裁； （2）依法向西安市雁塔区人民法院提起诉讼。 4、争议解决条款效力 合同有关争议解决的条款独立存在，合同的变更、解除、终止、无效或者被撤销均不影响其效力。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（一）价格： 1.合同价包括：服务费、售后服务费、利润、税金、保险、相关伴随费用等的一切费用。 2.合同有效期内，合同总价一次包死，不受国家政策性调价或原材料价格变化及外汇汇率变化的影响，并作为最终结算的唯一依据。 3、服务承诺：供应商应遵照国家规范规定的技术服务内容及要求作出明确承诺。 （二）质量安排排查保密要求： 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 （三）合同实施： 1 、成交供应商应在合同签订后尽快安排人员与采购单位就服务工作进行安排、部署。 2 、若因成交供应商原因未能在服务期内完成合同规定的义务，由此对采购人造成的延误和一切损失，由成交单位人承担和赔偿。（四）为顺利推进政府采购电子化交易平台试点应用工作，供应商需要在线提交所有通过电子化交易平台实施的政府采购项目的竞争性磋商响应文件。提交二次报价。成交通知书发出后，成交供应商须向采购人提交竞争性磋商响应文件纸质版一正一副（纸质版响应文件与电子版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供应商具备岩土工程勘察专业乙级及以上资质。</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供应商拟派项目负责人具备【注册土木工程师（岩土）】执业资格，且在本单位注册。</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供应商近五年类似项目业绩证明材料.docx 标的清单 响应函 商务、服务内容偏离表、技术响应偏差表.docx 服务方案.docx 监狱企业的证明文件 拟投入本项目的勘察设备仪器表.docx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拟投入本项目的人员配置情况表.docx 中小企业声明函 报价表 响应文件封面 分项报价表.docx 供应商资格要求.docx 残疾人福利性单位声明函 供应商近五年类似项目业绩证明材料.docx 标的清单 响应函 商务、服务内容偏离表、技术响应偏差表.docx 监狱企业的证明文件 拟投入本项目的勘察设备仪器表.docx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响应文件封面 响应函 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供应商近五年类似项目业绩证明材料.docx 标的清单 响应函 商务、服务内容偏离表、技术响应偏差表.docx 服务方案.docx 监狱企业的证明文件 拟投入本项目的勘察设备仪器表.docx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本项目编制方案，方案内容涵盖本项目全部内容（总体实施方案全面、详细完整、可操作性强、细节考虑到位计（16～24】分； 总体实施方案较全面、较详细完整、可操作性较强计（8～16】分； 内容一般计（0～8】分)，本项满分24分；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本项目服务质量的保障控制措施，措施描述完整、可操作性强、细节描述详细优越的计（7～10】分； 有相对的操作性，描述良好计（4～7】分； 内容一般的计（0～4】分，本项最高得10分。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确保本项目服务进度的保障措施，措施描述完整、可操作性强、细节描述详细优越的计（10～14】分； 有相对的操作性，描述良好计（5～10】分； 内容一般的计（0～5】分，本项最高得14分。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根据拟投入本项目的勘察设备的种类、数量等进行综合赋分，根据响应程度计0～5分。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拟投入本项目的勘察设备仪器表.docx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针对本项目的合理化建议，建议内容科学全面具体，针对性强，切合项目实际情况的计（5～7】分； 建议内容全面，针对性一般，符合项目实际情况的计（2～5】分； 建议内容一般，针对性差，不符合项目实际情况的计（0～2】分，本项最高得7分。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后续技术服务方案及承诺，根据提供的各项服务承诺，工作进度、质量、工期及其他方面实质性承诺【服务承诺可操作性强、细节描述详细、完整优越计（7～10】分；有相对的操作性、承诺内容良好计（3～7】分； 服务承诺内容一般的计（0～3】分。本项满分10分。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1、项目负责人学历：具有本科及以上学历的得3分，具有大专的得2分，其他不得分；以项目经理学历证书复印件加盖单位公章作为计分依据。 2、项目团队：根据本项目情况，项目组拟派人员在专业及数量搭配上是否合理，根据拟派人员的人数、职称、学历等方面情况进行比较，根据响应情况进行综合评审得0～7分；需提供人员证书相关证件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供应商具有近五年（2020年1月1日至今，以合同签订时间为准）的类似项目业绩，每提供一个得2分，最高得10分。注：供应商响应文件中提供合同复印件加盖公章。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供应商近五年类似项目业绩证明材料.docx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详见附件：供应商近五年类似项目业绩证明材料.docx</w:t>
      </w:r>
    </w:p>
    <w:p>
      <w:pPr>
        <w:pStyle w:val="null3"/>
        <w:ind w:firstLine="960"/>
      </w:pPr>
      <w:r>
        <w:rPr>
          <w:rFonts w:ascii="仿宋_GB2312" w:hAnsi="仿宋_GB2312" w:cs="仿宋_GB2312" w:eastAsia="仿宋_GB2312"/>
        </w:rPr>
        <w:t>详见附件：拟投入本项目的勘察设备仪器表.docx</w:t>
      </w:r>
    </w:p>
    <w:p>
      <w:pPr>
        <w:pStyle w:val="null3"/>
        <w:ind w:firstLine="960"/>
      </w:pPr>
      <w:r>
        <w:rPr>
          <w:rFonts w:ascii="仿宋_GB2312" w:hAnsi="仿宋_GB2312" w:cs="仿宋_GB2312" w:eastAsia="仿宋_GB2312"/>
        </w:rPr>
        <w:t>详见附件：拟投入本项目的人员配置情况表.docx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