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版本号：TJ-ZBFW-25-00920250506003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西安市雁塔区2024年城市体检报告编制项目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TJ-ZBFW-25-009</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陕西中晟同济项目管理有限公司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陕西中晟同济项目管理有限公司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西安市雁塔区2024年城市体检报告编制项目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TJ-ZBFW-25-009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西安市雁塔区2024年城市体检报告编制项目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根据国家、陕西省、西安市关于城市体检工作要求，开展雁塔区2024年城市体检工作。雁塔区城市体检工作将坚持问题导向、目标导向、结果导向，从住房、小区（社区）、街区、城区（城市）4 个维度开展城市体检工作。通过数据资料采集与评价，结合社会问卷调查等方法，对城市建设现状与存在问题进行详细摸排与综合诊断，对城市建设发展状况和水平进行评价，查找影响城市竞争力、承载力和可持续发展的短板弱项以及群众感受到的突出问题和短板，形成问题清单、整治清单，并相应提出治理对策和行动建议，最终形成雁塔区城市体检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1、法定代表人授权委托书：法定代表人直接参加投标的，须出具法定代表人身份证明书，并与营业执照上信息一致。法定代表人授权代表参加投标的，须出具法定代表人授权书及授权代表身份证复印件</w:t>
      </w:r>
    </w:p>
    <w:p>
      <w:pPr>
        <w:pStyle w:val="null3"/>
      </w:pPr>
      <w:r>
        <w:rPr>
          <w:rFonts w:ascii="仿宋_GB2312" w:hAnsi="仿宋_GB2312" w:cs="仿宋_GB2312" w:eastAsia="仿宋_GB2312"/>
        </w:rPr>
        <w:t>2、企业资质要求：供应商具有城乡规划（国土空间规划）编制乙级及以上资质（含乙级）；</w:t>
      </w:r>
    </w:p>
    <w:p>
      <w:pPr>
        <w:pStyle w:val="null3"/>
      </w:pPr>
      <w:r>
        <w:rPr>
          <w:rFonts w:ascii="仿宋_GB2312" w:hAnsi="仿宋_GB2312" w:cs="仿宋_GB2312" w:eastAsia="仿宋_GB2312"/>
        </w:rPr>
        <w:t>3、供应商信誉要求：不得为“信用中国”网站(http://ww w.creditchina.gov.cn)列入“失信被执行人、重大税收违法失信主体 、政府采购严重违法失信行为记录名单”的供应商；不得为中国政府采购网(http://w ww.ccgp.gov.cn)“政府采购严重违法失信行为 记录名单”中的供应商。(根据财库【2019】38 号文规定，此项由采购人在磋商响应截止日当天在“信用中国”网站和中国政府采购网站进行查询，截图留档；如网站无供应商信息的，供应商须提供相关证明资料或书面声明，并进行电子签章。)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15802929718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陕西中晟同济项目管理有限公司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陕西省西安市莲湖区未央路世纪金园B座401室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招标代理服务收费管理暂行办法》的通知（计价格〔2002〕1980号）、《国家发展和改革委员会办公厅关于招标代理服务收费有关问题的通知》（发改办价格〔2003〕857号）及（发改办价格〔2011〕534号）规定标准计取。由中标单位在领取中标通知书前一次性支付给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陕西中晟同济项目管理有限公司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陕西中晟同济项目管理有限公司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陕西中晟同济项目管理有限公司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1.服务期结束后，成交人向采购人提交验收申请。 2.采购人收到验收申请后进行验收，验收时成交人应无条件予以配合并提供验收所需的全部资料，若成交人不配合或者未按合同要求提供服务的，采购人将拒绝验收。 3.验收依据：竞争性磋商文件、响应文件、合同文本、国内相应的标准及规范。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联系人：白喆</w:t>
      </w:r>
    </w:p>
    <w:p>
      <w:pPr>
        <w:pStyle w:val="null3"/>
      </w:pPr>
      <w:r>
        <w:rPr>
          <w:rFonts w:ascii="仿宋_GB2312" w:hAnsi="仿宋_GB2312" w:cs="仿宋_GB2312" w:eastAsia="仿宋_GB2312"/>
        </w:rPr>
        <w:t>联系电话：029-83692921</w:t>
      </w:r>
    </w:p>
    <w:p>
      <w:pPr>
        <w:pStyle w:val="null3"/>
      </w:pPr>
      <w:r>
        <w:rPr>
          <w:rFonts w:ascii="仿宋_GB2312" w:hAnsi="仿宋_GB2312" w:cs="仿宋_GB2312" w:eastAsia="仿宋_GB2312"/>
        </w:rPr>
        <w:t>地址：陕西省西安市莲湖区未央路世纪金园B座401室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功能或目标:对城市体检指标数据进行全面、客观地分析评价，根据指标评估与问卷调查结果，按照轻重缓急的原则对体检发现的问题进行系统梳理、诊断分析；需满足的要求:针对不同问题分类制定对策措施，编制一表三清单(指标评估表、优势清单、问题清单和整治建议清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西安市雁塔区2024年城市体检报告编制项目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标的名称：西安市雁塔区2024年城市体检报告编制项目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一、项目概况</w:t>
            </w:r>
          </w:p>
          <w:p>
            <w:pPr>
              <w:pStyle w:val="null3"/>
              <w:ind w:firstLine="452"/>
              <w:jc w:val="left"/>
            </w:pPr>
            <w:r>
              <w:rPr>
                <w:rFonts w:ascii="仿宋_GB2312" w:hAnsi="仿宋_GB2312" w:cs="仿宋_GB2312" w:eastAsia="仿宋_GB2312"/>
                <w:sz w:val="22"/>
                <w:color w:val="000000"/>
              </w:rPr>
              <w:t>城市体检是通过综合评价城市发展建设状况、有针对性制定对策措施，优化城市发展目标、补齐城市建设短板、解决</w:t>
            </w:r>
            <w:r>
              <w:rPr>
                <w:rFonts w:ascii="仿宋_GB2312" w:hAnsi="仿宋_GB2312" w:cs="仿宋_GB2312" w:eastAsia="仿宋_GB2312"/>
                <w:sz w:val="22"/>
                <w:color w:val="000000"/>
              </w:rPr>
              <w:t>“城市病”问题的一项基础性工作。根据国家、陕西省、西安市关于城市体检工作要求，开展雁塔区2024年城市体检工作。雁塔区城市体检工作将坚持问题导向、目标导向、结果导向，从住房、小区（社区）、街区、城区（城市）4 个维度开展城市体检工作。通过数据资料采集与评价，结合社会问卷调查等方法，对城市建设现状与存在问题进行详细摸排与综合诊断，对城市建设发展状况和水平进行评价，查找影响城市竞争力、承载力和可持续发展的短板弱项以及群众感受到的突出问题和短板，形成问题清单、整治清单，并相应提出治理对策和行动建议，最终形成雁塔区城市体检报告。</w:t>
            </w:r>
          </w:p>
          <w:p>
            <w:pPr>
              <w:pStyle w:val="null3"/>
              <w:jc w:val="left"/>
            </w:pPr>
            <w:r>
              <w:rPr>
                <w:rFonts w:ascii="仿宋_GB2312" w:hAnsi="仿宋_GB2312" w:cs="仿宋_GB2312" w:eastAsia="仿宋_GB2312"/>
                <w:sz w:val="22"/>
                <w:color w:val="000000"/>
              </w:rPr>
              <w:t>二、服务内容</w:t>
            </w:r>
          </w:p>
          <w:p>
            <w:pPr>
              <w:pStyle w:val="null3"/>
              <w:jc w:val="left"/>
            </w:pPr>
            <w:r>
              <w:rPr>
                <w:rFonts w:ascii="仿宋_GB2312" w:hAnsi="仿宋_GB2312" w:cs="仿宋_GB2312" w:eastAsia="仿宋_GB2312"/>
                <w:sz w:val="22"/>
                <w:color w:val="000000"/>
              </w:rPr>
              <w:t>1、体检范围及对象</w:t>
            </w:r>
          </w:p>
          <w:p>
            <w:pPr>
              <w:pStyle w:val="null3"/>
              <w:ind w:firstLine="452"/>
              <w:jc w:val="left"/>
            </w:pPr>
            <w:r>
              <w:rPr>
                <w:rFonts w:ascii="仿宋_GB2312" w:hAnsi="仿宋_GB2312" w:cs="仿宋_GB2312" w:eastAsia="仿宋_GB2312"/>
                <w:sz w:val="22"/>
                <w:color w:val="000000"/>
              </w:rPr>
              <w:t>本次城市体检研究范围为雁塔区全域，城市体检对象包括住房、小区（社区）、街区、城区（城市）四个维度。</w:t>
            </w:r>
          </w:p>
          <w:p>
            <w:pPr>
              <w:pStyle w:val="null3"/>
              <w:jc w:val="left"/>
            </w:pPr>
            <w:r>
              <w:rPr>
                <w:rFonts w:ascii="仿宋_GB2312" w:hAnsi="仿宋_GB2312" w:cs="仿宋_GB2312" w:eastAsia="仿宋_GB2312"/>
                <w:sz w:val="22"/>
                <w:color w:val="000000"/>
              </w:rPr>
              <w:t>2.工作内容及要求</w:t>
            </w:r>
          </w:p>
          <w:p>
            <w:pPr>
              <w:pStyle w:val="null3"/>
              <w:ind w:firstLine="452"/>
              <w:jc w:val="left"/>
            </w:pPr>
            <w:r>
              <w:rPr>
                <w:rFonts w:ascii="仿宋_GB2312" w:hAnsi="仿宋_GB2312" w:cs="仿宋_GB2312" w:eastAsia="仿宋_GB2312"/>
                <w:sz w:val="22"/>
                <w:color w:val="000000"/>
              </w:rPr>
              <w:t>编制工作方案：按照住房和城乡建设部和西安市</w:t>
            </w:r>
            <w:r>
              <w:rPr>
                <w:rFonts w:ascii="仿宋_GB2312" w:hAnsi="仿宋_GB2312" w:cs="仿宋_GB2312" w:eastAsia="仿宋_GB2312"/>
                <w:sz w:val="22"/>
                <w:color w:val="000000"/>
              </w:rPr>
              <w:t>2024年城市体检工作要求，编制雁塔区城市体检工作方案。</w:t>
            </w:r>
          </w:p>
          <w:p>
            <w:pPr>
              <w:pStyle w:val="null3"/>
              <w:ind w:firstLine="452"/>
              <w:jc w:val="left"/>
            </w:pPr>
            <w:r>
              <w:rPr>
                <w:rFonts w:ascii="仿宋_GB2312" w:hAnsi="仿宋_GB2312" w:cs="仿宋_GB2312" w:eastAsia="仿宋_GB2312"/>
                <w:sz w:val="22"/>
                <w:color w:val="000000"/>
              </w:rPr>
              <w:t>完成城市体检报告：包括科学构建城市体检指标体系、开展数据收集和满意度调查、综合分析编制城市体检报告等。</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1）科学构建城市体检指标体系</w:t>
            </w:r>
          </w:p>
          <w:p>
            <w:pPr>
              <w:pStyle w:val="null3"/>
              <w:ind w:firstLine="452"/>
              <w:jc w:val="left"/>
            </w:pPr>
            <w:r>
              <w:rPr>
                <w:rFonts w:ascii="仿宋_GB2312" w:hAnsi="仿宋_GB2312" w:cs="仿宋_GB2312" w:eastAsia="仿宋_GB2312"/>
                <w:sz w:val="22"/>
                <w:color w:val="000000"/>
              </w:rPr>
              <w:t>依据《西安市</w:t>
            </w:r>
            <w:r>
              <w:rPr>
                <w:rFonts w:ascii="仿宋_GB2312" w:hAnsi="仿宋_GB2312" w:cs="仿宋_GB2312" w:eastAsia="仿宋_GB2312"/>
                <w:sz w:val="22"/>
                <w:color w:val="000000"/>
              </w:rPr>
              <w:t>2024年城市体检评估工作实施方案》，结合雁塔区实际及特色，科学合理构建“基础指标+雁塔区特色指标”的指标体系，特色指标选取需要结合雁塔区的城市特色和地方实际。</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2）开展数据采集及满意度调查</w:t>
            </w:r>
          </w:p>
          <w:p>
            <w:pPr>
              <w:pStyle w:val="null3"/>
              <w:ind w:firstLine="452"/>
              <w:jc w:val="left"/>
            </w:pPr>
            <w:r>
              <w:rPr>
                <w:rFonts w:ascii="仿宋_GB2312" w:hAnsi="仿宋_GB2312" w:cs="仿宋_GB2312" w:eastAsia="仿宋_GB2312"/>
                <w:sz w:val="22"/>
                <w:color w:val="000000"/>
              </w:rPr>
              <w:t>对指标体系各指标进行分解，配合组织城市体检领导小组各成员单位、街道办、社区人员进行城市体检培训，开展四个维度的指标基础数据收集；并通过网络大数据、深入社区进行调研采集等方式补充相关数据。各项指标严格按照住建部关于城市体检工作的相关要求，形成详实准确可靠的调研数据和基础资料，确保各项指标的准确性和真实性。</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3）综合分析编制城市体检报告</w:t>
            </w:r>
          </w:p>
          <w:p>
            <w:pPr>
              <w:pStyle w:val="null3"/>
              <w:ind w:firstLine="452"/>
              <w:jc w:val="left"/>
            </w:pPr>
            <w:r>
              <w:rPr>
                <w:rFonts w:ascii="仿宋_GB2312" w:hAnsi="仿宋_GB2312" w:cs="仿宋_GB2312" w:eastAsia="仿宋_GB2312"/>
                <w:sz w:val="22"/>
                <w:color w:val="000000"/>
              </w:rPr>
              <w:t>综合指标分析、社会调查情况，按照城市体检指标体系评价标准，综合分析评价城市在建设发展状况方面的问题短板及原因，形成一表三清单（指标评估表、优势清单、问题清单、整治建议清单），编制年度城市体检报告初稿，征求成员单位意见建议并经区政府研究审议后，修改完善形成最终成果</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三、技术要求（如有，一般适合于技术服务项目）</w:t>
            </w:r>
          </w:p>
          <w:p>
            <w:pPr>
              <w:pStyle w:val="null3"/>
              <w:ind w:firstLine="452"/>
              <w:jc w:val="left"/>
            </w:pPr>
            <w:r>
              <w:rPr>
                <w:rFonts w:ascii="仿宋_GB2312" w:hAnsi="仿宋_GB2312" w:cs="仿宋_GB2312" w:eastAsia="仿宋_GB2312"/>
                <w:sz w:val="22"/>
                <w:color w:val="000000"/>
              </w:rPr>
              <w:t>严格依据国家相关行业标准和规范；陕西省、西安市相关技术规定、政策性文件以及本项目合同规定。</w:t>
            </w:r>
          </w:p>
          <w:p>
            <w:pPr>
              <w:pStyle w:val="null3"/>
              <w:jc w:val="left"/>
            </w:pPr>
            <w:r>
              <w:rPr>
                <w:rFonts w:ascii="仿宋_GB2312" w:hAnsi="仿宋_GB2312" w:cs="仿宋_GB2312" w:eastAsia="仿宋_GB2312"/>
                <w:sz w:val="22"/>
                <w:color w:val="000000"/>
              </w:rPr>
              <w:t>四、服务要求（如对人员配置、专业设备、服务标准等）</w:t>
            </w:r>
          </w:p>
          <w:p>
            <w:pPr>
              <w:pStyle w:val="null3"/>
              <w:ind w:firstLine="452"/>
              <w:jc w:val="left"/>
            </w:pPr>
            <w:r>
              <w:rPr>
                <w:rFonts w:ascii="仿宋_GB2312" w:hAnsi="仿宋_GB2312" w:cs="仿宋_GB2312" w:eastAsia="仿宋_GB2312"/>
                <w:sz w:val="22"/>
                <w:color w:val="000000"/>
              </w:rPr>
              <w:t>在合同执行过程中需要服务商应执行的相关服务标准</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1.根据项目需求合理配备相关专业背景的，项目负责人技术人员，组建综合型技术团队。</w:t>
            </w:r>
          </w:p>
          <w:p>
            <w:pPr>
              <w:pStyle w:val="null3"/>
              <w:jc w:val="left"/>
            </w:pPr>
            <w:r>
              <w:rPr>
                <w:rFonts w:ascii="仿宋_GB2312" w:hAnsi="仿宋_GB2312" w:cs="仿宋_GB2312" w:eastAsia="仿宋_GB2312"/>
                <w:sz w:val="22"/>
                <w:color w:val="000000"/>
              </w:rPr>
              <w:t>2.应严格按照国家及地方相关标准规范收集数据，确保数据全面性、准确性、时效性。</w:t>
            </w:r>
          </w:p>
          <w:p>
            <w:pPr>
              <w:pStyle w:val="null3"/>
              <w:jc w:val="left"/>
            </w:pPr>
            <w:r>
              <w:rPr>
                <w:rFonts w:ascii="仿宋_GB2312" w:hAnsi="仿宋_GB2312" w:cs="仿宋_GB2312" w:eastAsia="仿宋_GB2312"/>
                <w:sz w:val="22"/>
                <w:color w:val="000000"/>
              </w:rPr>
              <w:t>五、其他</w:t>
            </w:r>
          </w:p>
          <w:p>
            <w:pPr>
              <w:pStyle w:val="null3"/>
              <w:jc w:val="left"/>
            </w:pPr>
            <w:r>
              <w:rPr>
                <w:rFonts w:ascii="仿宋_GB2312" w:hAnsi="仿宋_GB2312" w:cs="仿宋_GB2312" w:eastAsia="仿宋_GB2312"/>
                <w:sz w:val="22"/>
                <w:color w:val="000000"/>
              </w:rPr>
              <w:t>1.进度要求</w:t>
            </w:r>
          </w:p>
          <w:p>
            <w:pPr>
              <w:pStyle w:val="null3"/>
              <w:ind w:firstLine="452"/>
              <w:jc w:val="left"/>
            </w:pPr>
            <w:r>
              <w:rPr>
                <w:rFonts w:ascii="仿宋_GB2312" w:hAnsi="仿宋_GB2312" w:cs="仿宋_GB2312" w:eastAsia="仿宋_GB2312"/>
                <w:sz w:val="22"/>
                <w:color w:val="000000"/>
              </w:rPr>
              <w:t>于合同签订后</w:t>
            </w:r>
            <w:r>
              <w:rPr>
                <w:rFonts w:ascii="仿宋_GB2312" w:hAnsi="仿宋_GB2312" w:cs="仿宋_GB2312" w:eastAsia="仿宋_GB2312"/>
                <w:sz w:val="22"/>
                <w:color w:val="000000"/>
              </w:rPr>
              <w:t>2个月内完成《雁塔区2024年城市体检报告编制项目》初步成果，3个月内完成《雁塔区2024年城市体检报告编制项目》最终成果。</w:t>
            </w:r>
            <w:r>
              <w:rPr>
                <w:rFonts w:ascii="仿宋_GB2312" w:hAnsi="仿宋_GB2312" w:cs="仿宋_GB2312" w:eastAsia="仿宋_GB2312"/>
                <w:sz w:val="22"/>
                <w:color w:val="000000"/>
              </w:rPr>
              <w:t>如遇不可抗力或政策调整，</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经与</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协商后</w:t>
            </w:r>
            <w:r>
              <w:rPr>
                <w:rFonts w:ascii="仿宋_GB2312" w:hAnsi="仿宋_GB2312" w:cs="仿宋_GB2312" w:eastAsia="仿宋_GB2312"/>
                <w:sz w:val="22"/>
                <w:color w:val="000000"/>
              </w:rPr>
              <w:t>，</w:t>
            </w:r>
            <w:r>
              <w:rPr>
                <w:rFonts w:ascii="仿宋_GB2312" w:hAnsi="仿宋_GB2312" w:cs="仿宋_GB2312" w:eastAsia="仿宋_GB2312"/>
                <w:sz w:val="22"/>
                <w:color w:val="000000"/>
              </w:rPr>
              <w:t>按照协商后的</w:t>
            </w:r>
            <w:r>
              <w:rPr>
                <w:rFonts w:ascii="仿宋_GB2312" w:hAnsi="仿宋_GB2312" w:cs="仿宋_GB2312" w:eastAsia="仿宋_GB2312"/>
                <w:sz w:val="22"/>
                <w:color w:val="000000"/>
              </w:rPr>
              <w:t>工作内容及进度要求落实执行。</w:t>
            </w:r>
          </w:p>
          <w:p>
            <w:pPr>
              <w:pStyle w:val="null3"/>
              <w:jc w:val="left"/>
            </w:pPr>
            <w:r>
              <w:rPr>
                <w:rFonts w:ascii="仿宋_GB2312" w:hAnsi="仿宋_GB2312" w:cs="仿宋_GB2312" w:eastAsia="仿宋_GB2312"/>
                <w:sz w:val="22"/>
                <w:color w:val="000000"/>
              </w:rPr>
              <w:t>2.成果交付要求</w:t>
            </w:r>
          </w:p>
          <w:p>
            <w:pPr>
              <w:pStyle w:val="null3"/>
              <w:jc w:val="both"/>
            </w:pPr>
            <w:r>
              <w:rPr>
                <w:rFonts w:ascii="仿宋_GB2312" w:hAnsi="仿宋_GB2312" w:cs="仿宋_GB2312" w:eastAsia="仿宋_GB2312"/>
                <w:sz w:val="22"/>
                <w:color w:val="000000"/>
              </w:rPr>
              <w:t>按照采购人要求提交成果文件，包括《雁塔区</w:t>
            </w:r>
            <w:r>
              <w:rPr>
                <w:rFonts w:ascii="仿宋_GB2312" w:hAnsi="仿宋_GB2312" w:cs="仿宋_GB2312" w:eastAsia="仿宋_GB2312"/>
                <w:sz w:val="22"/>
                <w:color w:val="000000"/>
              </w:rPr>
              <w:t>2024年城市体检报告》、数据库。文字应装订成册，A4规格；成果电子文本以光盘形式提交。城市体检数据库成果，格式为GDB ,以U盘形式提交。</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1.服务期结束后，成交人向采购人提交验收申请。 2.采购人收到验收申请后进行验收，验收时成交人应无条件予以配合并提供验收所需的全部资料，若成交人不配合或者未按合同要求提供服务的，采购人将拒绝验收。 3.验收依据：竞争性磋商文件、响应文件、合同文本、国内相应的标准及规范。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项目合同签订完成后经甲方审核确认后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项目成果最终通过甲方验收后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按《中华人民共和国民法典》中的相关条款执行。（二）未按合同或招标书要求提供服务，提交的成果质量未能达到采购文件规定的标准，采购单位有权终止合同 。（三）乙方及其工作人员需遵守采购单位的保密规定，不以任何形式将收集的所有资料提供给合同双方以外的其他方，如有违反保密规定，采购单位有权终止合同。 解决争议的方法:本合同在履行过程中发生的争议，由甲、乙双方当事人协商解决，协商不成的按下列第(一)种方式解决:(一)提交西安仲裁委员会仲裁:(二)依法向甲方所在地人民法院起诉。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法人或其他组织或自然人，并提供法人或者其他组织合法有效的统一社会信用代码的营业执照等证明文件，事业单位应提供事业单位法人证书，自然人应提供身份证明文件； 2）具有履行合同所必需的设备和专业技术能力（提供承诺函）； 3）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的经审计的财务会计报告（成立时间至提交磋商响应文件截止时间不足一年的可提供成立后任意时段的资产负债表），或本年度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法定代表人直接参加投标的，须出具法定代表人身份证明书，并与营业执照上信息一致。法定代表人授权代表参加投标的，须出具法定代表人授权书及授权代表身份证复印件</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供应商具有城乡规划（国土空间规划）编制乙级及以上资质（含乙级）；</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不得为“信用中国”网站(http://ww w.creditchina.gov.cn)列入“失信被执行人、重大税收违法失信主体 、政府采购严重违法失信行为记录名单”的供应商；不得为中国政府采购网(http://w ww.ccgp.gov.cn)“政府采购严重违法失信行为 记录名单”中的供应商。(根据财库【2019】38 号文规定，此项由采购人在磋商响应截止日当天在“信用中国”网站和中国政府采购网站进行查询，截图留档；如网站无供应商信息的，供应商须提供相关证明资料或书面声明，并进行电子签章。)</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报价表 响应文件（格式）.docx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响应有效期满足要求的</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响应文件（格式）.docx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满足本磋商文件中标注的实质性条款（服务期限/交货期、服务地点、支付方式、支付约定）要求的</w:t>
            </w:r>
          </w:p>
        </w:tc>
        <w:tc>
          <w:tcPr>
            <w:tcW w:type="dxa" w:w="1661"/>
          </w:tcPr>
          <w:p>
            <w:pPr>
              <w:pStyle w:val="null3"/>
            </w:pPr>
            <w:r>
              <w:rPr>
                <w:rFonts w:ascii="仿宋_GB2312" w:hAnsi="仿宋_GB2312" w:cs="仿宋_GB2312" w:eastAsia="仿宋_GB2312"/>
              </w:rPr>
              <w:t>报价表 响应文件（格式）.docx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响应文件（格式）.docx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考核供应商对本项目的基本情况和背景的理解，对工作方向的解读: (1)对本项目的基本情况和背景非常熟悉和透彻，对工作方向解读科学、合理、准确，得(7-10]分:(2)对本项目的基本情况和背景理解一般，对工作方向解读科学性、合理性和准确性一般，得(3-7]分;(3)对项目认识不足，未能理解项目基本情况和背景，对工作方向解读不够科学、不够合理、不够准确，得[1-3]分。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对指标体系的理解</w:t>
            </w:r>
          </w:p>
        </w:tc>
        <w:tc>
          <w:tcPr>
            <w:tcW w:type="dxa" w:w="2492"/>
          </w:tcPr>
          <w:p>
            <w:pPr>
              <w:pStyle w:val="null3"/>
            </w:pPr>
            <w:r>
              <w:rPr>
                <w:rFonts w:ascii="仿宋_GB2312" w:hAnsi="仿宋_GB2312" w:cs="仿宋_GB2312" w:eastAsia="仿宋_GB2312"/>
              </w:rPr>
              <w:t>考核供应商对城市体检指标体系的理解程度。(1)对城市体检指标体系、单项指标的内涵的认识和理解清晰准确，得(7-10]分: (2)对城市体检指标体系、单项指标的内涵的认识和理解较为清晰准确，得(3-7]分:(3)对城市体检指标体系、单项指标的内涵的认识和理解不够清晰准确，得[0-3]分: 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数据获取和分析能力</w:t>
            </w:r>
          </w:p>
        </w:tc>
        <w:tc>
          <w:tcPr>
            <w:tcW w:type="dxa" w:w="2492"/>
          </w:tcPr>
          <w:p>
            <w:pPr>
              <w:pStyle w:val="null3"/>
            </w:pPr>
            <w:r>
              <w:rPr>
                <w:rFonts w:ascii="仿宋_GB2312" w:hAnsi="仿宋_GB2312" w:cs="仿宋_GB2312" w:eastAsia="仿宋_GB2312"/>
              </w:rPr>
              <w:t>考核供应商数据获取方法是否可行，是否具备数据处理和分析应用能力。 (1)数据获取方法可行，数据处理和分析应用能力强，得(7-10]分; (2)数据获取方法基本可行，数据处理和分析应用能力较强，得(3-7]分: (3)数据获取方法不够可行，数据处理和分析应用能力不足，得(1-3]分。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数据基础</w:t>
            </w:r>
          </w:p>
        </w:tc>
        <w:tc>
          <w:tcPr>
            <w:tcW w:type="dxa" w:w="2492"/>
          </w:tcPr>
          <w:p>
            <w:pPr>
              <w:pStyle w:val="null3"/>
            </w:pPr>
            <w:r>
              <w:rPr>
                <w:rFonts w:ascii="仿宋_GB2312" w:hAnsi="仿宋_GB2312" w:cs="仿宋_GB2312" w:eastAsia="仿宋_GB2312"/>
              </w:rPr>
              <w:t>考核供应商是否具有相关数据基础，是否能够为体检工作提供支撑。 数据基础丰富、精度高、信息完整，得(3-5]分； 有数据基础，但类别有限，精度不足，得(1-3]分； 有部分数据基础，仅能支持小部分或无法支持区级指标分析工作，得[0-1]分；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实施能力</w:t>
            </w:r>
          </w:p>
        </w:tc>
        <w:tc>
          <w:tcPr>
            <w:tcW w:type="dxa" w:w="2492"/>
          </w:tcPr>
          <w:p>
            <w:pPr>
              <w:pStyle w:val="null3"/>
            </w:pPr>
            <w:r>
              <w:rPr>
                <w:rFonts w:ascii="仿宋_GB2312" w:hAnsi="仿宋_GB2312" w:cs="仿宋_GB2312" w:eastAsia="仿宋_GB2312"/>
              </w:rPr>
              <w:t>考核供应商对本工作整体思路的把控，工作组织是否完善，技术框架是否清晰，分析方法是否全面，城市体检成果应用方案是否可行。 (1)对本工作整体思路的把控，按其响应程度计[0-5]分。(2)工作组织和技术框架的完善、清晰，按其响应程度计[0-5]分。 (3)工作方法可行，按其响应程度计[0-5]分。(4)体检成果应用方案合理、详实，按其响应程度计[0-5]分。 无相关内容的不得分。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项目组负责人</w:t>
            </w:r>
          </w:p>
        </w:tc>
        <w:tc>
          <w:tcPr>
            <w:tcW w:type="dxa" w:w="2492"/>
          </w:tcPr>
          <w:p>
            <w:pPr>
              <w:pStyle w:val="null3"/>
            </w:pPr>
            <w:r>
              <w:rPr>
                <w:rFonts w:ascii="仿宋_GB2312" w:hAnsi="仿宋_GB2312" w:cs="仿宋_GB2312" w:eastAsia="仿宋_GB2312"/>
              </w:rPr>
              <w:t>项目负责人具有规划类专业高级职称和注册城乡规划师执业资格得5分，否则不得分。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项目组成员情况表</w:t>
            </w:r>
          </w:p>
        </w:tc>
        <w:tc>
          <w:tcPr>
            <w:tcW w:type="dxa" w:w="2492"/>
          </w:tcPr>
          <w:p>
            <w:pPr>
              <w:pStyle w:val="null3"/>
            </w:pPr>
            <w:r>
              <w:rPr>
                <w:rFonts w:ascii="仿宋_GB2312" w:hAnsi="仿宋_GB2312" w:cs="仿宋_GB2312" w:eastAsia="仿宋_GB2312"/>
              </w:rPr>
              <w:t>(1)项目组成员具有城市（城乡）规划、建筑学、测绘工程等专业高级工程师及以上职称的，每涵盖一个专业得1分，最高得3分。(2)项目组成员专业涵盖城市（城乡）规划、人文地理、地理信息系统、建筑学、风景园林、计算机科学与技术、测绘等相关专业，每涵盖上述一个专业得1分，最高得7分。 注:提供项目人员职称证书复印件加盖公章、相关证书复印件加盖公章或中国城市规划协会官方网站截图为评分依据，无提供不得分；提供的人员须在本单位工作，以提供的开标日前近三个月任意一个月的社保证明为准，否则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五年以来投标人提供近五年以来体检评估类、数据分析或采集类等同类项目业绩，投标文件中附有业绩证明材料，业绩以中标通知书或合同文件为依据，每提供一个计2分，满分10分，注:提供加盖公章的业绩证明材料复印件为评分依据，未提供不得分。如是联合体投标，联合体任一方提供均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考核供应商是否有详尽可行的质量保障措施和内部监督机制。 (1)切合实际、措施详尽可行的得(3-5]分;(2)符合实际、措施基本可行的得(1-3]分:(3)不符合实际、措施不可行的得[0-1]分:无相关内容不得分。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考核供应商工作进度满足采购人对于项目完成时间的要求，且有详尽可行的保障措施。 (1)切合实际、措施可行的得(3-5]分: (2)符合实际、措施基本可行的得(1-3]分:(3)不符合实际、措施不可行的得[0-1]分:无相关内容不得分。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 =（评审基准价/磋商报价）×价格权值×100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响应文件（格式）.docx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响应文件（格式）.docx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