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版本号：SXWZ2025ZB-YTFJ-08120250508001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无人机场采购项目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SXWZ2025ZB-YTFJ-081</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无人机场采购项目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SXWZ2025ZB-YTFJ-081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无人机场采购项目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西安市公安局雁塔分局无人机场采购项目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须提供2024年9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3、税收缴纳证明：供应商须提供2024年9月至今已缴纳的至少一个月纳税证明或完税证明，依法免税的单位应提供相关证明材料。（以税款所属期限为准）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4、财务状况证明：提供经会计师事务所审计的2023年或2024年财务审计报告，或在开标日期前六个月内其基本开户银行出具的资信证明。注：财会[2023]15号文《财政部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rFonts w:ascii="仿宋_GB2312" w:hAnsi="仿宋_GB2312" w:cs="仿宋_GB2312" w:eastAsia="仿宋_GB2312"/>
        </w:rPr>
        <w:t>5、无重大违法声明：供应商应出具参加本次政府采购活动前3年内在经营活动中没有重大违法违纪，以及未被列入失信被执行人、重大税收违法案件当事人名单、政府采购严重违法失信行为记录名单的书面声明。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6、法定代表人或授权代表：非法定代表人参加投标，须提供法定代表人授权委托书原件及被授权人身份证复印件加盖公章；法定代表人参加投标时,只须提供法定代表人身份证复印件加盖公章。</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供应商信用记录书面声明函》（按格式填写，提供原件）。经查，供应商未被列入“信用中国”网站记录的“失信被执行人”或“重大税收违法案件当事人”名单；不处于“中国政府采购网”记录的“政府采购严重违法失信行为记录名单”中的禁止参加政府采购活动期间。评审依据：响应文件中所附网站截图证明材料原件及网查信息</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9、控股管理关系：单位负责人为同一人或者存在直接控股、管理关系的供应商，不得参加同一合同下的政府采购活动。评审依据：响应文件中承诺函原件。</w:t>
      </w:r>
    </w:p>
    <w:p>
      <w:pPr>
        <w:pStyle w:val="null3"/>
      </w:pPr>
      <w:r>
        <w:rPr>
          <w:rFonts w:ascii="仿宋_GB2312" w:hAnsi="仿宋_GB2312" w:cs="仿宋_GB2312" w:eastAsia="仿宋_GB2312"/>
        </w:rPr>
        <w:t>10、是否接受联合体：本项目不接受联合体谈判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18591898230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邱荷婷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029-88319689转8005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代理服务费收费标准：定额收取：人民币捌仟元整（¥ 8000.00）元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西安市公安局雁塔分局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邱荷婷</w:t>
      </w:r>
    </w:p>
    <w:p>
      <w:pPr>
        <w:pStyle w:val="null3"/>
      </w:pPr>
      <w:r>
        <w:rPr>
          <w:rFonts w:ascii="仿宋_GB2312" w:hAnsi="仿宋_GB2312" w:cs="仿宋_GB2312" w:eastAsia="仿宋_GB2312"/>
        </w:rPr>
        <w:t>联系电话：029-88319689-8005</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西安市公安局雁塔分局无人机场采购项目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无人机场采购项目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标的名称：无人机场采购项目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9"/>
              <w:gridCol w:w="2164"/>
            </w:tblGrid>
            <w:tr>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参数性质</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本项目</w:t>
                  </w:r>
                  <w:r>
                    <w:rPr>
                      <w:rFonts w:ascii="仿宋_GB2312" w:hAnsi="仿宋_GB2312" w:cs="仿宋_GB2312" w:eastAsia="仿宋_GB2312"/>
                      <w:sz w:val="24"/>
                    </w:rPr>
                    <w:t>为自动化</w:t>
                  </w:r>
                  <w:r>
                    <w:rPr>
                      <w:rFonts w:ascii="仿宋_GB2312" w:hAnsi="仿宋_GB2312" w:cs="仿宋_GB2312" w:eastAsia="仿宋_GB2312"/>
                      <w:sz w:val="24"/>
                    </w:rPr>
                    <w:t>机场采购，西安市雁塔区公安局为实现强化执法装备管理，提高执法装备效能，持续提升执法工作精准化、专业化、规范化水平的目的，建设</w:t>
                  </w:r>
                  <w:r>
                    <w:rPr>
                      <w:rFonts w:ascii="仿宋_GB2312" w:hAnsi="仿宋_GB2312" w:cs="仿宋_GB2312" w:eastAsia="仿宋_GB2312"/>
                      <w:sz w:val="24"/>
                    </w:rPr>
                    <w:t>“空地立体指挥</w:t>
                  </w:r>
                  <w:r>
                    <w:rPr>
                      <w:rFonts w:ascii="仿宋_GB2312" w:hAnsi="仿宋_GB2312" w:cs="仿宋_GB2312" w:eastAsia="仿宋_GB2312"/>
                      <w:sz w:val="24"/>
                    </w:rPr>
                    <w:t>网格化</w:t>
                  </w:r>
                  <w:r>
                    <w:rPr>
                      <w:rFonts w:ascii="仿宋_GB2312" w:hAnsi="仿宋_GB2312" w:cs="仿宋_GB2312" w:eastAsia="仿宋_GB2312"/>
                      <w:sz w:val="24"/>
                    </w:rPr>
                    <w:t>巡逻防控体系</w:t>
                  </w:r>
                  <w:r>
                    <w:rPr>
                      <w:rFonts w:ascii="仿宋_GB2312" w:hAnsi="仿宋_GB2312" w:cs="仿宋_GB2312" w:eastAsia="仿宋_GB2312"/>
                      <w:sz w:val="24"/>
                    </w:rPr>
                    <w:t>”，特此采购一批无人机相关设备。</w:t>
                  </w:r>
                </w:p>
                <w:p>
                  <w:pPr>
                    <w:pStyle w:val="null3"/>
                    <w:numPr>
                      <w:ilvl w:val="0"/>
                      <w:numId w:val="1"/>
                    </w:numPr>
                    <w:jc w:val="both"/>
                  </w:pPr>
                  <w:r>
                    <w:rPr>
                      <w:rFonts w:ascii="仿宋_GB2312" w:hAnsi="仿宋_GB2312" w:cs="仿宋_GB2312" w:eastAsia="仿宋_GB2312"/>
                      <w:sz w:val="24"/>
                      <w:b/>
                    </w:rPr>
                    <w:t>采购内容（包括采购品目、和数量）</w:t>
                  </w:r>
                </w:p>
                <w:tbl>
                  <w:tblPr>
                    <w:tblInd w:type="dxa" w:w="135"/>
                    <w:tblBorders>
                      <w:top w:val="none" w:color="000000" w:sz="4"/>
                      <w:left w:val="none" w:color="000000" w:sz="4"/>
                      <w:bottom w:val="none" w:color="000000" w:sz="4"/>
                      <w:right w:val="none" w:color="000000" w:sz="4"/>
                      <w:insideH w:val="none"/>
                      <w:insideV w:val="none"/>
                    </w:tblBorders>
                  </w:tblPr>
                  <w:tblGrid>
                    <w:gridCol w:w="281"/>
                    <w:gridCol w:w="585"/>
                    <w:gridCol w:w="396"/>
                    <w:gridCol w:w="681"/>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自动化机场</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含相关配套产品</w:t>
                        </w:r>
                      </w:p>
                    </w:tc>
                  </w:tr>
                </w:tbl>
                <w:p>
                  <w:pPr>
                    <w:pStyle w:val="null3"/>
                    <w:numPr>
                      <w:ilvl w:val="0"/>
                      <w:numId w:val="1"/>
                    </w:numPr>
                    <w:jc w:val="both"/>
                  </w:pPr>
                  <w:r>
                    <w:rPr>
                      <w:rFonts w:ascii="仿宋_GB2312" w:hAnsi="仿宋_GB2312" w:cs="仿宋_GB2312" w:eastAsia="仿宋_GB2312"/>
                      <w:sz w:val="24"/>
                      <w:b/>
                    </w:rPr>
                    <w:t>技术要求（包括对产品的认证、检验报告等）</w:t>
                  </w:r>
                </w:p>
                <w:tbl>
                  <w:tblPr>
                    <w:tblBorders>
                      <w:top w:val="none" w:color="000000" w:sz="4"/>
                      <w:left w:val="none" w:color="000000" w:sz="4"/>
                      <w:bottom w:val="none" w:color="000000" w:sz="4"/>
                      <w:right w:val="none" w:color="000000" w:sz="4"/>
                      <w:insideH w:val="none"/>
                      <w:insideV w:val="none"/>
                    </w:tblBorders>
                  </w:tblPr>
                  <w:tblGrid>
                    <w:gridCol w:w="221"/>
                    <w:gridCol w:w="172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自动机库</w:t>
                        </w:r>
                        <w:r>
                          <w:rPr>
                            <w:rFonts w:ascii="仿宋_GB2312" w:hAnsi="仿宋_GB2312" w:cs="仿宋_GB2312" w:eastAsia="仿宋_GB2312"/>
                            <w:sz w:val="24"/>
                          </w:rPr>
                          <w:t>3</w:t>
                        </w:r>
                        <w:r>
                          <w:rPr>
                            <w:rFonts w:ascii="仿宋_GB2312" w:hAnsi="仿宋_GB2312" w:cs="仿宋_GB2312" w:eastAsia="仿宋_GB2312"/>
                            <w:sz w:val="24"/>
                          </w:rPr>
                          <w:t>套（核心产品）</w:t>
                        </w:r>
                      </w:p>
                      <w:p>
                        <w:pPr>
                          <w:pStyle w:val="null3"/>
                          <w:ind w:right="2100"/>
                          <w:jc w:val="both"/>
                        </w:pPr>
                        <w:r>
                          <w:rPr>
                            <w:rFonts w:ascii="仿宋_GB2312" w:hAnsi="仿宋_GB2312" w:cs="仿宋_GB2312" w:eastAsia="仿宋_GB2312"/>
                            <w:sz w:val="24"/>
                          </w:rPr>
                          <w:t>外形尺寸（舱盖开启）：</w:t>
                        </w:r>
                        <w:r>
                          <w:rPr>
                            <w:rFonts w:ascii="仿宋_GB2312" w:hAnsi="仿宋_GB2312" w:cs="仿宋_GB2312" w:eastAsia="仿宋_GB2312"/>
                            <w:sz w:val="24"/>
                          </w:rPr>
                          <w:t>≤1400mm×600mm×500mm</w:t>
                        </w:r>
                      </w:p>
                      <w:p>
                        <w:pPr>
                          <w:pStyle w:val="null3"/>
                          <w:ind w:right="2100"/>
                          <w:jc w:val="both"/>
                        </w:pPr>
                        <w:r>
                          <w:rPr>
                            <w:rFonts w:ascii="仿宋_GB2312" w:hAnsi="仿宋_GB2312" w:cs="仿宋_GB2312" w:eastAsia="仿宋_GB2312"/>
                            <w:sz w:val="24"/>
                          </w:rPr>
                          <w:t>外形尺寸（舱盖闭合）：</w:t>
                        </w:r>
                        <w:r>
                          <w:rPr>
                            <w:rFonts w:ascii="仿宋_GB2312" w:hAnsi="仿宋_GB2312" w:cs="仿宋_GB2312" w:eastAsia="仿宋_GB2312"/>
                            <w:sz w:val="24"/>
                          </w:rPr>
                          <w:t>≤800mm×800mm×700mm</w:t>
                        </w:r>
                      </w:p>
                      <w:p>
                        <w:pPr>
                          <w:pStyle w:val="null3"/>
                          <w:ind w:right="2100"/>
                          <w:jc w:val="both"/>
                        </w:pPr>
                        <w:r>
                          <w:rPr>
                            <w:rFonts w:ascii="仿宋_GB2312" w:hAnsi="仿宋_GB2312" w:cs="仿宋_GB2312" w:eastAsia="仿宋_GB2312"/>
                            <w:sz w:val="24"/>
                          </w:rPr>
                          <w:t>防护等级：</w:t>
                        </w:r>
                        <w:r>
                          <w:rPr>
                            <w:rFonts w:ascii="仿宋_GB2312" w:hAnsi="仿宋_GB2312" w:cs="仿宋_GB2312" w:eastAsia="仿宋_GB2312"/>
                            <w:sz w:val="24"/>
                          </w:rPr>
                          <w:t>≥IP54</w:t>
                        </w:r>
                      </w:p>
                      <w:p>
                        <w:pPr>
                          <w:pStyle w:val="null3"/>
                          <w:ind w:right="2100"/>
                          <w:jc w:val="both"/>
                        </w:pPr>
                        <w:r>
                          <w:rPr>
                            <w:rFonts w:ascii="仿宋_GB2312" w:hAnsi="仿宋_GB2312" w:cs="仿宋_GB2312" w:eastAsia="仿宋_GB2312"/>
                            <w:sz w:val="24"/>
                          </w:rPr>
                          <w:t>最大允许降落风速：</w:t>
                        </w:r>
                        <w:r>
                          <w:rPr>
                            <w:rFonts w:ascii="仿宋_GB2312" w:hAnsi="仿宋_GB2312" w:cs="仿宋_GB2312" w:eastAsia="仿宋_GB2312"/>
                            <w:sz w:val="24"/>
                          </w:rPr>
                          <w:t>≥6米/秒</w:t>
                        </w:r>
                      </w:p>
                      <w:p>
                        <w:pPr>
                          <w:pStyle w:val="null3"/>
                          <w:ind w:right="2100"/>
                          <w:jc w:val="both"/>
                        </w:pPr>
                        <w:r>
                          <w:rPr>
                            <w:rFonts w:ascii="仿宋_GB2312" w:hAnsi="仿宋_GB2312" w:cs="仿宋_GB2312" w:eastAsia="仿宋_GB2312"/>
                            <w:sz w:val="24"/>
                          </w:rPr>
                          <w:t>充电时间：</w:t>
                        </w:r>
                        <w:r>
                          <w:rPr>
                            <w:rFonts w:ascii="仿宋_GB2312" w:hAnsi="仿宋_GB2312" w:cs="仿宋_GB2312" w:eastAsia="仿宋_GB2312"/>
                            <w:sz w:val="24"/>
                          </w:rPr>
                          <w:t>≤40分钟</w:t>
                        </w:r>
                      </w:p>
                      <w:p>
                        <w:pPr>
                          <w:pStyle w:val="null3"/>
                          <w:ind w:right="2100"/>
                          <w:jc w:val="both"/>
                        </w:pPr>
                        <w:r>
                          <w:rPr>
                            <w:rFonts w:ascii="仿宋_GB2312" w:hAnsi="仿宋_GB2312" w:cs="仿宋_GB2312" w:eastAsia="仿宋_GB2312"/>
                            <w:sz w:val="24"/>
                          </w:rPr>
                          <w:t>空调类型：</w:t>
                        </w:r>
                        <w:r>
                          <w:rPr>
                            <w:rFonts w:ascii="仿宋_GB2312" w:hAnsi="仿宋_GB2312" w:cs="仿宋_GB2312" w:eastAsia="仿宋_GB2312"/>
                            <w:sz w:val="24"/>
                          </w:rPr>
                          <w:t>TEC 空调</w:t>
                        </w:r>
                      </w:p>
                      <w:p>
                        <w:pPr>
                          <w:pStyle w:val="null3"/>
                          <w:ind w:right="2100"/>
                          <w:jc w:val="both"/>
                        </w:pPr>
                        <w:r>
                          <w:rPr>
                            <w:rFonts w:ascii="仿宋_GB2312" w:hAnsi="仿宋_GB2312" w:cs="仿宋_GB2312" w:eastAsia="仿宋_GB2312"/>
                            <w:sz w:val="24"/>
                          </w:rPr>
                          <w:t>网络接入：支持以太网接入、</w:t>
                        </w:r>
                        <w:r>
                          <w:rPr>
                            <w:rFonts w:ascii="仿宋_GB2312" w:hAnsi="仿宋_GB2312" w:cs="仿宋_GB2312" w:eastAsia="仿宋_GB2312"/>
                            <w:sz w:val="24"/>
                          </w:rPr>
                          <w:t>4G 接入</w:t>
                        </w:r>
                      </w:p>
                      <w:p>
                        <w:pPr>
                          <w:pStyle w:val="null3"/>
                          <w:ind w:right="2100"/>
                          <w:jc w:val="both"/>
                        </w:pPr>
                        <w:r>
                          <w:rPr>
                            <w:rFonts w:ascii="仿宋_GB2312" w:hAnsi="仿宋_GB2312" w:cs="仿宋_GB2312" w:eastAsia="仿宋_GB2312"/>
                            <w:sz w:val="24"/>
                          </w:rPr>
                          <w:t>舱盖及舱内有监控相机</w:t>
                        </w:r>
                      </w:p>
                      <w:p>
                        <w:pPr>
                          <w:pStyle w:val="null3"/>
                          <w:ind w:right="2100"/>
                          <w:jc w:val="both"/>
                        </w:pPr>
                        <w:r>
                          <w:rPr>
                            <w:rFonts w:ascii="仿宋_GB2312" w:hAnsi="仿宋_GB2312" w:cs="仿宋_GB2312" w:eastAsia="仿宋_GB2312"/>
                            <w:sz w:val="24"/>
                          </w:rPr>
                          <w:t>具备防雷功能</w:t>
                        </w:r>
                      </w:p>
                      <w:p>
                        <w:pPr>
                          <w:pStyle w:val="null3"/>
                          <w:ind w:right="2100"/>
                          <w:jc w:val="both"/>
                        </w:pPr>
                        <w:r>
                          <w:rPr>
                            <w:rFonts w:ascii="仿宋_GB2312" w:hAnsi="仿宋_GB2312" w:cs="仿宋_GB2312" w:eastAsia="仿宋_GB2312"/>
                            <w:sz w:val="24"/>
                          </w:rPr>
                          <w:t>支持扩展能力以及第三方云平台接入</w:t>
                        </w:r>
                      </w:p>
                      <w:p>
                        <w:pPr>
                          <w:pStyle w:val="null3"/>
                          <w:ind w:right="2100"/>
                          <w:jc w:val="both"/>
                        </w:pPr>
                        <w:r>
                          <w:rPr>
                            <w:rFonts w:ascii="仿宋_GB2312" w:hAnsi="仿宋_GB2312" w:cs="仿宋_GB2312" w:eastAsia="仿宋_GB2312"/>
                            <w:sz w:val="24"/>
                          </w:rPr>
                          <w:t>工作环境温度：</w:t>
                        </w:r>
                        <w:r>
                          <w:rPr>
                            <w:rFonts w:ascii="仿宋_GB2312" w:hAnsi="仿宋_GB2312" w:cs="仿宋_GB2312" w:eastAsia="仿宋_GB2312"/>
                            <w:sz w:val="24"/>
                          </w:rPr>
                          <w:t>-25°C 至 45°C</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飞行器</w:t>
                        </w:r>
                        <w:r>
                          <w:rPr>
                            <w:rFonts w:ascii="仿宋_GB2312" w:hAnsi="仿宋_GB2312" w:cs="仿宋_GB2312" w:eastAsia="仿宋_GB2312"/>
                            <w:sz w:val="24"/>
                          </w:rPr>
                          <w:t>3</w:t>
                        </w:r>
                        <w:r>
                          <w:rPr>
                            <w:rFonts w:ascii="仿宋_GB2312" w:hAnsi="仿宋_GB2312" w:cs="仿宋_GB2312" w:eastAsia="仿宋_GB2312"/>
                            <w:sz w:val="24"/>
                          </w:rPr>
                          <w:t>套（核心产品）</w:t>
                        </w:r>
                      </w:p>
                      <w:p>
                        <w:pPr>
                          <w:pStyle w:val="null3"/>
                          <w:ind w:right="2100"/>
                          <w:jc w:val="both"/>
                        </w:pPr>
                        <w:r>
                          <w:rPr>
                            <w:rFonts w:ascii="仿宋_GB2312" w:hAnsi="仿宋_GB2312" w:cs="仿宋_GB2312" w:eastAsia="仿宋_GB2312"/>
                            <w:sz w:val="24"/>
                          </w:rPr>
                          <w:t>最大起飞重量：</w:t>
                        </w:r>
                        <w:r>
                          <w:rPr>
                            <w:rFonts w:ascii="仿宋_GB2312" w:hAnsi="仿宋_GB2312" w:cs="仿宋_GB2312" w:eastAsia="仿宋_GB2312"/>
                            <w:sz w:val="24"/>
                          </w:rPr>
                          <w:t>≤2300克</w:t>
                        </w:r>
                      </w:p>
                      <w:p>
                        <w:pPr>
                          <w:pStyle w:val="null3"/>
                          <w:ind w:right="2100"/>
                          <w:jc w:val="both"/>
                        </w:pPr>
                        <w:r>
                          <w:rPr>
                            <w:rFonts w:ascii="仿宋_GB2312" w:hAnsi="仿宋_GB2312" w:cs="仿宋_GB2312" w:eastAsia="仿宋_GB2312"/>
                            <w:sz w:val="24"/>
                          </w:rPr>
                          <w:t>轴距：</w:t>
                        </w:r>
                        <w:r>
                          <w:rPr>
                            <w:rFonts w:ascii="仿宋_GB2312" w:hAnsi="仿宋_GB2312" w:cs="仿宋_GB2312" w:eastAsia="仿宋_GB2312"/>
                            <w:sz w:val="24"/>
                          </w:rPr>
                          <w:t>≤500 毫米</w:t>
                        </w:r>
                      </w:p>
                      <w:p>
                        <w:pPr>
                          <w:pStyle w:val="null3"/>
                          <w:ind w:right="2100"/>
                          <w:jc w:val="both"/>
                        </w:pPr>
                        <w:r>
                          <w:rPr>
                            <w:rFonts w:ascii="仿宋_GB2312" w:hAnsi="仿宋_GB2312" w:cs="仿宋_GB2312" w:eastAsia="仿宋_GB2312"/>
                            <w:sz w:val="24"/>
                          </w:rPr>
                          <w:t>最大上升速度：</w:t>
                        </w:r>
                        <w:r>
                          <w:rPr>
                            <w:rFonts w:ascii="仿宋_GB2312" w:hAnsi="仿宋_GB2312" w:cs="仿宋_GB2312" w:eastAsia="仿宋_GB2312"/>
                            <w:sz w:val="24"/>
                          </w:rPr>
                          <w:t>≥6 米/秒</w:t>
                        </w:r>
                      </w:p>
                      <w:p>
                        <w:pPr>
                          <w:pStyle w:val="null3"/>
                          <w:ind w:right="2100"/>
                          <w:jc w:val="both"/>
                        </w:pPr>
                        <w:r>
                          <w:rPr>
                            <w:rFonts w:ascii="仿宋_GB2312" w:hAnsi="仿宋_GB2312" w:cs="仿宋_GB2312" w:eastAsia="仿宋_GB2312"/>
                            <w:sz w:val="24"/>
                          </w:rPr>
                          <w:t>最大下降速度：</w:t>
                        </w:r>
                        <w:r>
                          <w:rPr>
                            <w:rFonts w:ascii="仿宋_GB2312" w:hAnsi="仿宋_GB2312" w:cs="仿宋_GB2312" w:eastAsia="仿宋_GB2312"/>
                            <w:sz w:val="24"/>
                          </w:rPr>
                          <w:t>≥6 米/秒</w:t>
                        </w:r>
                      </w:p>
                      <w:p>
                        <w:pPr>
                          <w:pStyle w:val="null3"/>
                          <w:ind w:right="2100"/>
                          <w:jc w:val="both"/>
                        </w:pPr>
                        <w:r>
                          <w:rPr>
                            <w:rFonts w:ascii="仿宋_GB2312" w:hAnsi="仿宋_GB2312" w:cs="仿宋_GB2312" w:eastAsia="仿宋_GB2312"/>
                            <w:sz w:val="24"/>
                          </w:rPr>
                          <w:t>最大抗风速度：作业阶段抗风能力</w:t>
                        </w:r>
                        <w:r>
                          <w:rPr>
                            <w:rFonts w:ascii="仿宋_GB2312" w:hAnsi="仿宋_GB2312" w:cs="仿宋_GB2312" w:eastAsia="仿宋_GB2312"/>
                            <w:sz w:val="24"/>
                          </w:rPr>
                          <w:t>≥12 米/秒</w:t>
                        </w:r>
                      </w:p>
                      <w:p>
                        <w:pPr>
                          <w:pStyle w:val="null3"/>
                          <w:ind w:right="2100"/>
                          <w:jc w:val="both"/>
                        </w:pPr>
                        <w:r>
                          <w:rPr>
                            <w:rFonts w:ascii="仿宋_GB2312" w:hAnsi="仿宋_GB2312" w:cs="仿宋_GB2312" w:eastAsia="仿宋_GB2312"/>
                            <w:sz w:val="24"/>
                          </w:rPr>
                          <w:t>最大起飞海拔高度：</w:t>
                        </w:r>
                        <w:r>
                          <w:rPr>
                            <w:rFonts w:ascii="仿宋_GB2312" w:hAnsi="仿宋_GB2312" w:cs="仿宋_GB2312" w:eastAsia="仿宋_GB2312"/>
                            <w:sz w:val="24"/>
                          </w:rPr>
                          <w:t>≥4000 米</w:t>
                        </w:r>
                      </w:p>
                      <w:p>
                        <w:pPr>
                          <w:pStyle w:val="null3"/>
                          <w:ind w:right="2100"/>
                          <w:jc w:val="both"/>
                        </w:pPr>
                        <w:r>
                          <w:rPr>
                            <w:rFonts w:ascii="仿宋_GB2312" w:hAnsi="仿宋_GB2312" w:cs="仿宋_GB2312" w:eastAsia="仿宋_GB2312"/>
                            <w:sz w:val="24"/>
                          </w:rPr>
                          <w:t>最长飞行时间：</w:t>
                        </w:r>
                        <w:r>
                          <w:rPr>
                            <w:rFonts w:ascii="仿宋_GB2312" w:hAnsi="仿宋_GB2312" w:cs="仿宋_GB2312" w:eastAsia="仿宋_GB2312"/>
                            <w:sz w:val="24"/>
                          </w:rPr>
                          <w:t>≥45 分钟</w:t>
                        </w:r>
                      </w:p>
                      <w:p>
                        <w:pPr>
                          <w:pStyle w:val="null3"/>
                          <w:ind w:right="2100"/>
                          <w:jc w:val="both"/>
                        </w:pPr>
                        <w:r>
                          <w:rPr>
                            <w:rFonts w:ascii="仿宋_GB2312" w:hAnsi="仿宋_GB2312" w:cs="仿宋_GB2312" w:eastAsia="仿宋_GB2312"/>
                            <w:sz w:val="24"/>
                          </w:rPr>
                          <w:t>防护等级：</w:t>
                        </w:r>
                        <w:r>
                          <w:rPr>
                            <w:rFonts w:ascii="仿宋_GB2312" w:hAnsi="仿宋_GB2312" w:cs="仿宋_GB2312" w:eastAsia="仿宋_GB2312"/>
                            <w:sz w:val="24"/>
                          </w:rPr>
                          <w:t>≥IP</w:t>
                        </w:r>
                        <w:r>
                          <w:rPr>
                            <w:rFonts w:ascii="仿宋_GB2312" w:hAnsi="仿宋_GB2312" w:cs="仿宋_GB2312" w:eastAsia="仿宋_GB2312"/>
                            <w:sz w:val="24"/>
                          </w:rPr>
                          <w:t>5</w:t>
                        </w:r>
                        <w:r>
                          <w:rPr>
                            <w:rFonts w:ascii="仿宋_GB2312" w:hAnsi="仿宋_GB2312" w:cs="仿宋_GB2312" w:eastAsia="仿宋_GB2312"/>
                            <w:sz w:val="24"/>
                          </w:rPr>
                          <w:t>3</w:t>
                        </w:r>
                      </w:p>
                      <w:p>
                        <w:pPr>
                          <w:pStyle w:val="null3"/>
                          <w:ind w:right="2100"/>
                          <w:jc w:val="both"/>
                        </w:pPr>
                        <w:r>
                          <w:rPr>
                            <w:rFonts w:ascii="仿宋_GB2312" w:hAnsi="仿宋_GB2312" w:cs="仿宋_GB2312" w:eastAsia="仿宋_GB2312"/>
                            <w:sz w:val="24"/>
                          </w:rPr>
                          <w:t>支持广角相机、长焦相机、红外相机功能</w:t>
                        </w:r>
                      </w:p>
                      <w:p>
                        <w:pPr>
                          <w:pStyle w:val="null3"/>
                          <w:ind w:right="2100"/>
                          <w:jc w:val="both"/>
                        </w:pPr>
                        <w:r>
                          <w:rPr>
                            <w:rFonts w:ascii="仿宋_GB2312" w:hAnsi="仿宋_GB2312" w:cs="仿宋_GB2312" w:eastAsia="仿宋_GB2312"/>
                            <w:sz w:val="24"/>
                          </w:rPr>
                          <w:t>云台稳定系统：具备</w:t>
                        </w:r>
                        <w:r>
                          <w:rPr>
                            <w:rFonts w:ascii="仿宋_GB2312" w:hAnsi="仿宋_GB2312" w:cs="仿宋_GB2312" w:eastAsia="仿宋_GB2312"/>
                            <w:sz w:val="24"/>
                          </w:rPr>
                          <w:t>3 轴机械云台</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增加图传模块</w:t>
                        </w:r>
                        <w:r>
                          <w:rPr>
                            <w:rFonts w:ascii="仿宋_GB2312" w:hAnsi="仿宋_GB2312" w:cs="仿宋_GB2312" w:eastAsia="仿宋_GB2312"/>
                            <w:sz w:val="24"/>
                          </w:rPr>
                          <w:t>3</w:t>
                        </w:r>
                        <w:r>
                          <w:rPr>
                            <w:rFonts w:ascii="仿宋_GB2312" w:hAnsi="仿宋_GB2312" w:cs="仿宋_GB2312" w:eastAsia="仿宋_GB2312"/>
                            <w:sz w:val="24"/>
                          </w:rPr>
                          <w:t>套</w:t>
                        </w:r>
                      </w:p>
                      <w:p>
                        <w:pPr>
                          <w:pStyle w:val="null3"/>
                          <w:ind w:right="2100" w:firstLine="480"/>
                          <w:jc w:val="both"/>
                        </w:pPr>
                        <w:r>
                          <w:rPr>
                            <w:rFonts w:ascii="仿宋_GB2312" w:hAnsi="仿宋_GB2312" w:cs="仿宋_GB2312" w:eastAsia="仿宋_GB2312"/>
                            <w:sz w:val="24"/>
                          </w:rPr>
                          <w:t>无人机和遥控器安装该配件后，可实现新的增强图传功能，轻松应对各类复杂环境，飞行更安全。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多功能广播系统</w:t>
                        </w: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4"/>
                          </w:rPr>
                          <w:t>套</w:t>
                        </w:r>
                      </w:p>
                      <w:p>
                        <w:pPr>
                          <w:pStyle w:val="null3"/>
                          <w:ind w:right="2100"/>
                          <w:jc w:val="both"/>
                        </w:pPr>
                        <w:r>
                          <w:rPr>
                            <w:rFonts w:ascii="仿宋_GB2312" w:hAnsi="仿宋_GB2312" w:cs="仿宋_GB2312" w:eastAsia="仿宋_GB2312"/>
                            <w:sz w:val="24"/>
                          </w:rPr>
                          <w:t>外形尺寸</w:t>
                        </w:r>
                        <w:r>
                          <w:rPr>
                            <w:rFonts w:ascii="仿宋_GB2312" w:hAnsi="仿宋_GB2312" w:cs="仿宋_GB2312" w:eastAsia="仿宋_GB2312"/>
                            <w:sz w:val="24"/>
                          </w:rPr>
                          <w:t>:≤  90mm*110mm*60mm</w:t>
                        </w:r>
                      </w:p>
                      <w:p>
                        <w:pPr>
                          <w:pStyle w:val="null3"/>
                          <w:ind w:right="2100"/>
                          <w:jc w:val="both"/>
                        </w:pPr>
                        <w:r>
                          <w:rPr>
                            <w:rFonts w:ascii="仿宋_GB2312" w:hAnsi="仿宋_GB2312" w:cs="仿宋_GB2312" w:eastAsia="仿宋_GB2312"/>
                            <w:sz w:val="24"/>
                          </w:rPr>
                          <w:t>重量</w:t>
                        </w:r>
                        <w:r>
                          <w:rPr>
                            <w:rFonts w:ascii="仿宋_GB2312" w:hAnsi="仿宋_GB2312" w:cs="仿宋_GB2312" w:eastAsia="仿宋_GB2312"/>
                            <w:sz w:val="24"/>
                          </w:rPr>
                          <w:t>:≤210g</w:t>
                        </w:r>
                      </w:p>
                      <w:p>
                        <w:pPr>
                          <w:pStyle w:val="null3"/>
                          <w:ind w:right="2100"/>
                          <w:jc w:val="both"/>
                        </w:pPr>
                        <w:r>
                          <w:rPr>
                            <w:rFonts w:ascii="仿宋_GB2312" w:hAnsi="仿宋_GB2312" w:cs="仿宋_GB2312" w:eastAsia="仿宋_GB2312"/>
                            <w:sz w:val="24"/>
                          </w:rPr>
                          <w:t>防护等级</w:t>
                        </w:r>
                        <w:r>
                          <w:rPr>
                            <w:rFonts w:ascii="仿宋_GB2312" w:hAnsi="仿宋_GB2312" w:cs="仿宋_GB2312" w:eastAsia="仿宋_GB2312"/>
                            <w:sz w:val="24"/>
                          </w:rPr>
                          <w:t>:≥IP34</w:t>
                        </w:r>
                      </w:p>
                      <w:p>
                        <w:pPr>
                          <w:pStyle w:val="null3"/>
                          <w:ind w:right="2100"/>
                          <w:jc w:val="both"/>
                        </w:pPr>
                        <w:r>
                          <w:rPr>
                            <w:rFonts w:ascii="仿宋_GB2312" w:hAnsi="仿宋_GB2312" w:cs="仿宋_GB2312" w:eastAsia="仿宋_GB2312"/>
                            <w:sz w:val="24"/>
                          </w:rPr>
                          <w:t>工作温度</w:t>
                        </w:r>
                        <w:r>
                          <w:rPr>
                            <w:rFonts w:ascii="仿宋_GB2312" w:hAnsi="仿宋_GB2312" w:cs="仿宋_GB2312" w:eastAsia="仿宋_GB2312"/>
                            <w:sz w:val="24"/>
                          </w:rPr>
                          <w:t>:-20- 55°℃</w:t>
                        </w:r>
                      </w:p>
                      <w:p>
                        <w:pPr>
                          <w:pStyle w:val="null3"/>
                          <w:ind w:right="2100"/>
                          <w:jc w:val="both"/>
                        </w:pPr>
                        <w:r>
                          <w:rPr>
                            <w:rFonts w:ascii="仿宋_GB2312" w:hAnsi="仿宋_GB2312" w:cs="仿宋_GB2312" w:eastAsia="仿宋_GB2312"/>
                            <w:sz w:val="24"/>
                          </w:rPr>
                          <w:t>声压</w:t>
                        </w:r>
                        <w:r>
                          <w:rPr>
                            <w:rFonts w:ascii="仿宋_GB2312" w:hAnsi="仿宋_GB2312" w:cs="仿宋_GB2312" w:eastAsia="仿宋_GB2312"/>
                            <w:sz w:val="24"/>
                          </w:rPr>
                          <w:t>:≥120dB@1m</w:t>
                        </w:r>
                      </w:p>
                      <w:p>
                        <w:pPr>
                          <w:pStyle w:val="null3"/>
                          <w:ind w:right="2100"/>
                          <w:jc w:val="both"/>
                        </w:pPr>
                        <w:r>
                          <w:rPr>
                            <w:rFonts w:ascii="仿宋_GB2312" w:hAnsi="仿宋_GB2312" w:cs="仿宋_GB2312" w:eastAsia="仿宋_GB2312"/>
                            <w:sz w:val="24"/>
                          </w:rPr>
                          <w:t>警灯模式：需具备红蓝慢闪、红蓝快闪、蓝蓝爆闪、红红爆闪等功能模式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无人机</w:t>
                        </w:r>
                        <w:r>
                          <w:rPr>
                            <w:rFonts w:ascii="仿宋_GB2312" w:hAnsi="仿宋_GB2312" w:cs="仿宋_GB2312" w:eastAsia="仿宋_GB2312"/>
                            <w:sz w:val="24"/>
                          </w:rPr>
                          <w:t>原厂保险</w:t>
                        </w:r>
                        <w:r>
                          <w:rPr>
                            <w:rFonts w:ascii="仿宋_GB2312" w:hAnsi="仿宋_GB2312" w:cs="仿宋_GB2312" w:eastAsia="仿宋_GB2312"/>
                            <w:sz w:val="24"/>
                          </w:rPr>
                          <w:t>1年/台</w:t>
                        </w:r>
                      </w:p>
                      <w:p>
                        <w:pPr>
                          <w:pStyle w:val="null3"/>
                          <w:ind w:right="2100"/>
                          <w:jc w:val="both"/>
                        </w:pPr>
                        <w:r>
                          <w:rPr>
                            <w:rFonts w:ascii="仿宋_GB2312" w:hAnsi="仿宋_GB2312" w:cs="仿宋_GB2312" w:eastAsia="仿宋_GB2312"/>
                            <w:sz w:val="24"/>
                          </w:rPr>
                          <w:t>★</w:t>
                        </w:r>
                        <w:r>
                          <w:rPr>
                            <w:rFonts w:ascii="仿宋_GB2312" w:hAnsi="仿宋_GB2312" w:cs="仿宋_GB2312" w:eastAsia="仿宋_GB2312"/>
                            <w:sz w:val="24"/>
                          </w:rPr>
                          <w:t>提供一年因意外飞行造成的无人机损坏维修服务，额度之内不限次</w:t>
                        </w:r>
                        <w:r>
                          <w:rPr>
                            <w:rFonts w:ascii="仿宋_GB2312" w:hAnsi="仿宋_GB2312" w:cs="仿宋_GB2312" w:eastAsia="仿宋_GB2312"/>
                            <w:sz w:val="24"/>
                          </w:rPr>
                          <w:t>数免费维修服务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安装部署服务</w:t>
                        </w:r>
                        <w:r>
                          <w:rPr>
                            <w:rFonts w:ascii="仿宋_GB2312" w:hAnsi="仿宋_GB2312" w:cs="仿宋_GB2312" w:eastAsia="仿宋_GB2312"/>
                            <w:sz w:val="24"/>
                          </w:rPr>
                          <w:t>1项</w:t>
                        </w:r>
                      </w:p>
                      <w:p>
                        <w:pPr>
                          <w:pStyle w:val="null3"/>
                          <w:ind w:right="2100"/>
                          <w:jc w:val="both"/>
                        </w:pPr>
                        <w:r>
                          <w:rPr>
                            <w:rFonts w:ascii="仿宋_GB2312" w:hAnsi="仿宋_GB2312" w:cs="仿宋_GB2312" w:eastAsia="仿宋_GB2312"/>
                            <w:sz w:val="24"/>
                          </w:rPr>
                          <w:t>需要完成自动机库设备的安装部署工作</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技术运维服务</w:t>
                        </w:r>
                        <w:r>
                          <w:rPr>
                            <w:rFonts w:ascii="仿宋_GB2312" w:hAnsi="仿宋_GB2312" w:cs="仿宋_GB2312" w:eastAsia="仿宋_GB2312"/>
                            <w:sz w:val="24"/>
                          </w:rPr>
                          <w:t>1项</w:t>
                        </w:r>
                      </w:p>
                      <w:p>
                        <w:pPr>
                          <w:pStyle w:val="null3"/>
                          <w:ind w:right="2100"/>
                          <w:jc w:val="both"/>
                        </w:pP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3年技术运维服务，投标文件中投标人提供承诺函</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三维建模建设</w:t>
                        </w:r>
                        <w:r>
                          <w:rPr>
                            <w:rFonts w:ascii="仿宋_GB2312" w:hAnsi="仿宋_GB2312" w:cs="仿宋_GB2312" w:eastAsia="仿宋_GB2312"/>
                            <w:sz w:val="24"/>
                          </w:rPr>
                          <w:t>1项</w:t>
                        </w:r>
                      </w:p>
                      <w:p>
                        <w:pPr>
                          <w:pStyle w:val="null3"/>
                          <w:ind w:right="2100"/>
                          <w:jc w:val="both"/>
                        </w:pPr>
                        <w:r>
                          <w:rPr>
                            <w:rFonts w:ascii="仿宋_GB2312" w:hAnsi="仿宋_GB2312" w:cs="仿宋_GB2312" w:eastAsia="仿宋_GB2312"/>
                            <w:sz w:val="24"/>
                          </w:rPr>
                          <w:t>★</w:t>
                        </w:r>
                        <w:r>
                          <w:rPr>
                            <w:rFonts w:ascii="仿宋_GB2312" w:hAnsi="仿宋_GB2312" w:cs="仿宋_GB2312" w:eastAsia="仿宋_GB2312"/>
                            <w:sz w:val="24"/>
                          </w:rPr>
                          <w:t>针对本项目建设要求与实际应用场景需求，提供三维建模建设服务；招标文件中投标人提供承诺函</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空域申请</w:t>
                        </w:r>
                        <w:r>
                          <w:rPr>
                            <w:rFonts w:ascii="仿宋_GB2312" w:hAnsi="仿宋_GB2312" w:cs="仿宋_GB2312" w:eastAsia="仿宋_GB2312"/>
                            <w:sz w:val="24"/>
                          </w:rPr>
                          <w:t>1项</w:t>
                        </w:r>
                      </w:p>
                      <w:p>
                        <w:pPr>
                          <w:pStyle w:val="null3"/>
                          <w:ind w:right="2100"/>
                          <w:jc w:val="both"/>
                        </w:pPr>
                        <w:r>
                          <w:rPr>
                            <w:rFonts w:ascii="仿宋_GB2312" w:hAnsi="仿宋_GB2312" w:cs="仿宋_GB2312" w:eastAsia="仿宋_GB2312"/>
                            <w:sz w:val="24"/>
                          </w:rPr>
                          <w:t>★</w:t>
                        </w:r>
                        <w:r>
                          <w:rPr>
                            <w:rFonts w:ascii="仿宋_GB2312" w:hAnsi="仿宋_GB2312" w:cs="仿宋_GB2312" w:eastAsia="仿宋_GB2312"/>
                            <w:sz w:val="24"/>
                          </w:rPr>
                          <w:t>针对本项目自动化机场飞行作业要求，提供</w:t>
                        </w:r>
                        <w:r>
                          <w:rPr>
                            <w:rFonts w:ascii="仿宋_GB2312" w:hAnsi="仿宋_GB2312" w:cs="仿宋_GB2312" w:eastAsia="仿宋_GB2312"/>
                            <w:sz w:val="24"/>
                          </w:rPr>
                          <w:t>1 年空域申请服务；招标文件中投标人提供承诺函</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无人机培训</w:t>
                        </w:r>
                        <w:r>
                          <w:rPr>
                            <w:rFonts w:ascii="仿宋_GB2312" w:hAnsi="仿宋_GB2312" w:cs="仿宋_GB2312" w:eastAsia="仿宋_GB2312"/>
                            <w:sz w:val="24"/>
                          </w:rPr>
                          <w:t>1项</w:t>
                        </w:r>
                      </w:p>
                      <w:p>
                        <w:pPr>
                          <w:pStyle w:val="null3"/>
                          <w:ind w:right="2100"/>
                          <w:jc w:val="both"/>
                        </w:pPr>
                        <w:r>
                          <w:rPr>
                            <w:rFonts w:ascii="仿宋_GB2312" w:hAnsi="仿宋_GB2312" w:cs="仿宋_GB2312" w:eastAsia="仿宋_GB2312"/>
                            <w:sz w:val="24"/>
                          </w:rPr>
                          <w:t>针对项目需求提供无人机产品</w:t>
                        </w:r>
                        <w:r>
                          <w:rPr>
                            <w:rFonts w:ascii="仿宋_GB2312" w:hAnsi="仿宋_GB2312" w:cs="仿宋_GB2312" w:eastAsia="仿宋_GB2312"/>
                            <w:sz w:val="24"/>
                          </w:rPr>
                          <w:t>功能</w:t>
                        </w:r>
                        <w:r>
                          <w:rPr>
                            <w:rFonts w:ascii="仿宋_GB2312" w:hAnsi="仿宋_GB2312" w:cs="仿宋_GB2312" w:eastAsia="仿宋_GB2312"/>
                            <w:sz w:val="24"/>
                          </w:rPr>
                          <w:t>培训服务（投标文件中出具承诺函）</w:t>
                        </w:r>
                      </w:p>
                      <w:p>
                        <w:pPr>
                          <w:pStyle w:val="null3"/>
                          <w:ind w:right="2100"/>
                          <w:jc w:val="both"/>
                        </w:pPr>
                        <w:r>
                          <w:rPr>
                            <w:rFonts w:ascii="仿宋_GB2312" w:hAnsi="仿宋_GB2312" w:cs="仿宋_GB2312" w:eastAsia="仿宋_GB2312"/>
                            <w:sz w:val="24"/>
                          </w:rPr>
                          <w:t>★投标人需具备由中国民用航空局颁发的</w:t>
                        </w:r>
                        <w:r>
                          <w:rPr>
                            <w:rFonts w:ascii="仿宋_GB2312" w:hAnsi="仿宋_GB2312" w:cs="仿宋_GB2312" w:eastAsia="仿宋_GB2312"/>
                            <w:sz w:val="24"/>
                          </w:rPr>
                          <w:t>有效期内</w:t>
                        </w:r>
                        <w:r>
                          <w:rPr>
                            <w:rFonts w:ascii="仿宋_GB2312" w:hAnsi="仿宋_GB2312" w:cs="仿宋_GB2312" w:eastAsia="仿宋_GB2312"/>
                            <w:sz w:val="24"/>
                          </w:rPr>
                          <w:t>《民用无人驾驶航空器运营合格证》、批准从事无人机培训类业务。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0"/>
                          <w:jc w:val="both"/>
                        </w:pPr>
                        <w:r>
                          <w:rPr>
                            <w:rFonts w:ascii="仿宋_GB2312" w:hAnsi="仿宋_GB2312" w:cs="仿宋_GB2312" w:eastAsia="仿宋_GB2312"/>
                            <w:sz w:val="24"/>
                          </w:rPr>
                          <w:t>说明：</w:t>
                        </w:r>
                      </w:p>
                      <w:p>
                        <w:pPr>
                          <w:pStyle w:val="null3"/>
                          <w:ind w:right="2100"/>
                          <w:jc w:val="both"/>
                        </w:pPr>
                        <w:r>
                          <w:rPr>
                            <w:rFonts w:ascii="仿宋_GB2312" w:hAnsi="仿宋_GB2312" w:cs="仿宋_GB2312" w:eastAsia="仿宋_GB2312"/>
                            <w:sz w:val="24"/>
                          </w:rPr>
                          <w:t>标</w:t>
                        </w:r>
                        <w:r>
                          <w:rPr>
                            <w:rFonts w:ascii="仿宋_GB2312" w:hAnsi="仿宋_GB2312" w:cs="仿宋_GB2312" w:eastAsia="仿宋_GB2312"/>
                            <w:sz w:val="24"/>
                          </w:rPr>
                          <w:t>“★”技术参数项代表实质性指标，不满足该指标项将按无效投标处理。</w:t>
                        </w:r>
                      </w:p>
                      <w:p>
                        <w:pPr>
                          <w:pStyle w:val="null3"/>
                          <w:ind w:right="2100"/>
                          <w:jc w:val="both"/>
                        </w:pPr>
                        <w:r>
                          <w:rPr>
                            <w:rFonts w:ascii="仿宋_GB2312" w:hAnsi="仿宋_GB2312" w:cs="仿宋_GB2312" w:eastAsia="仿宋_GB2312"/>
                            <w:sz w:val="24"/>
                          </w:rPr>
                          <w:t>证明材料要求（</w:t>
                        </w:r>
                        <w:r>
                          <w:rPr>
                            <w:rFonts w:ascii="仿宋_GB2312" w:hAnsi="仿宋_GB2312" w:cs="仿宋_GB2312" w:eastAsia="仿宋_GB2312"/>
                            <w:sz w:val="24"/>
                          </w:rPr>
                          <w:t>加盖制造商公章</w:t>
                        </w:r>
                        <w:r>
                          <w:rPr>
                            <w:rFonts w:ascii="仿宋_GB2312" w:hAnsi="仿宋_GB2312" w:cs="仿宋_GB2312" w:eastAsia="仿宋_GB2312"/>
                            <w:sz w:val="24"/>
                          </w:rPr>
                          <w:t>）：以检测报告</w:t>
                        </w:r>
                        <w:r>
                          <w:rPr>
                            <w:rFonts w:ascii="仿宋_GB2312" w:hAnsi="仿宋_GB2312" w:cs="仿宋_GB2312" w:eastAsia="仿宋_GB2312"/>
                            <w:sz w:val="24"/>
                          </w:rPr>
                          <w:t>/</w:t>
                        </w:r>
                        <w:r>
                          <w:rPr>
                            <w:rFonts w:ascii="仿宋_GB2312" w:hAnsi="仿宋_GB2312" w:cs="仿宋_GB2312" w:eastAsia="仿宋_GB2312"/>
                            <w:sz w:val="24"/>
                          </w:rPr>
                          <w:t>产品官网截图</w:t>
                        </w:r>
                        <w:r>
                          <w:rPr>
                            <w:rFonts w:ascii="仿宋_GB2312" w:hAnsi="仿宋_GB2312" w:cs="仿宋_GB2312" w:eastAsia="仿宋_GB2312"/>
                            <w:sz w:val="24"/>
                          </w:rPr>
                          <w:t>/</w:t>
                        </w:r>
                        <w:r>
                          <w:rPr>
                            <w:rFonts w:ascii="仿宋_GB2312" w:hAnsi="仿宋_GB2312" w:cs="仿宋_GB2312" w:eastAsia="仿宋_GB2312"/>
                            <w:sz w:val="24"/>
                          </w:rPr>
                          <w:t>用户使用说明书</w:t>
                        </w:r>
                        <w:r>
                          <w:rPr>
                            <w:rFonts w:ascii="仿宋_GB2312" w:hAnsi="仿宋_GB2312" w:cs="仿宋_GB2312" w:eastAsia="仿宋_GB2312"/>
                            <w:sz w:val="24"/>
                          </w:rPr>
                          <w:t>/</w:t>
                        </w:r>
                        <w:r>
                          <w:rPr>
                            <w:rFonts w:ascii="仿宋_GB2312" w:hAnsi="仿宋_GB2312" w:cs="仿宋_GB2312" w:eastAsia="仿宋_GB2312"/>
                            <w:sz w:val="24"/>
                          </w:rPr>
                          <w:t>产品使用说明书</w:t>
                        </w:r>
                        <w:r>
                          <w:rPr>
                            <w:rFonts w:ascii="仿宋_GB2312" w:hAnsi="仿宋_GB2312" w:cs="仿宋_GB2312" w:eastAsia="仿宋_GB2312"/>
                            <w:sz w:val="24"/>
                          </w:rPr>
                          <w:t>/</w:t>
                        </w:r>
                        <w:r>
                          <w:rPr>
                            <w:rFonts w:ascii="仿宋_GB2312" w:hAnsi="仿宋_GB2312" w:cs="仿宋_GB2312" w:eastAsia="仿宋_GB2312"/>
                            <w:sz w:val="24"/>
                          </w:rPr>
                          <w:t>技术规格书</w:t>
                        </w:r>
                        <w:r>
                          <w:rPr>
                            <w:rFonts w:ascii="仿宋_GB2312" w:hAnsi="仿宋_GB2312" w:cs="仿宋_GB2312" w:eastAsia="仿宋_GB2312"/>
                            <w:sz w:val="24"/>
                          </w:rPr>
                          <w:t>/</w:t>
                        </w:r>
                        <w:r>
                          <w:rPr>
                            <w:rFonts w:ascii="仿宋_GB2312" w:hAnsi="仿宋_GB2312" w:cs="仿宋_GB2312" w:eastAsia="仿宋_GB2312"/>
                            <w:sz w:val="24"/>
                          </w:rPr>
                          <w:t>产品彩页为依据。证明材料中的响应指标应与投标文件响应的指标保持一致。</w:t>
                        </w:r>
                      </w:p>
                    </w:tc>
                  </w:tr>
                </w:tbl>
                <w:p>
                  <w:pPr>
                    <w:pStyle w:val="null3"/>
                    <w:numPr>
                      <w:ilvl w:val="0"/>
                      <w:numId w:val="1"/>
                    </w:numPr>
                    <w:jc w:val="both"/>
                  </w:pP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本项目技术运维期限</w:t>
                  </w:r>
                  <w:r>
                    <w:rPr>
                      <w:rFonts w:ascii="仿宋_GB2312" w:hAnsi="仿宋_GB2312" w:cs="仿宋_GB2312" w:eastAsia="仿宋_GB2312"/>
                      <w:sz w:val="24"/>
                    </w:rPr>
                    <w:t>三</w:t>
                  </w:r>
                  <w:r>
                    <w:rPr>
                      <w:rFonts w:ascii="仿宋_GB2312" w:hAnsi="仿宋_GB2312" w:cs="仿宋_GB2312" w:eastAsia="仿宋_GB2312"/>
                      <w:sz w:val="24"/>
                    </w:rPr>
                    <w:t>年。</w:t>
                  </w:r>
                </w:p>
                <w:p>
                  <w:pPr>
                    <w:pStyle w:val="null3"/>
                    <w:numPr>
                      <w:ilvl w:val="0"/>
                      <w:numId w:val="1"/>
                    </w:numPr>
                    <w:jc w:val="both"/>
                  </w:pP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1.交货期：自合同签订后</w:t>
                  </w:r>
                  <w:r>
                    <w:rPr>
                      <w:rFonts w:ascii="仿宋_GB2312" w:hAnsi="仿宋_GB2312" w:cs="仿宋_GB2312" w:eastAsia="仿宋_GB2312"/>
                      <w:sz w:val="24"/>
                    </w:rPr>
                    <w:t>10</w:t>
                  </w:r>
                  <w:r>
                    <w:rPr>
                      <w:rFonts w:ascii="仿宋_GB2312" w:hAnsi="仿宋_GB2312" w:cs="仿宋_GB2312" w:eastAsia="仿宋_GB2312"/>
                      <w:sz w:val="24"/>
                    </w:rPr>
                    <w:t>个日历日内。</w:t>
                  </w:r>
                </w:p>
                <w:p>
                  <w:pPr>
                    <w:pStyle w:val="null3"/>
                    <w:ind w:firstLine="480"/>
                    <w:jc w:val="both"/>
                  </w:pPr>
                  <w:r>
                    <w:rPr>
                      <w:rFonts w:ascii="仿宋_GB2312" w:hAnsi="仿宋_GB2312" w:cs="仿宋_GB2312" w:eastAsia="仿宋_GB2312"/>
                      <w:sz w:val="24"/>
                    </w:rPr>
                    <w:t>2.款项结算：产品安装调试经采购人验收合格后一次性支付全款。</w:t>
                  </w:r>
                </w:p>
                <w:p>
                  <w:pPr>
                    <w:pStyle w:val="null3"/>
                    <w:numPr>
                      <w:ilvl w:val="0"/>
                      <w:numId w:val="1"/>
                    </w:numPr>
                    <w:jc w:val="both"/>
                  </w:pP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（一）质量验收标准或规范</w:t>
                  </w:r>
                </w:p>
                <w:p>
                  <w:pPr>
                    <w:pStyle w:val="null3"/>
                    <w:ind w:firstLine="480"/>
                    <w:jc w:val="both"/>
                  </w:pPr>
                  <w:r>
                    <w:rPr>
                      <w:rFonts w:ascii="仿宋_GB2312" w:hAnsi="仿宋_GB2312" w:cs="仿宋_GB2312" w:eastAsia="仿宋_GB2312"/>
                      <w:sz w:val="24"/>
                    </w:rPr>
                    <w:t>符合现行的国家标准或国家行政部门颁布的法律法规、规章制度等。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）产品质保期</w:t>
                  </w:r>
                </w:p>
                <w:p>
                  <w:pPr>
                    <w:pStyle w:val="null3"/>
                    <w:ind w:firstLine="480"/>
                    <w:jc w:val="both"/>
                  </w:pPr>
                  <w:r>
                    <w:rPr>
                      <w:rFonts w:ascii="仿宋_GB2312" w:hAnsi="仿宋_GB2312" w:cs="仿宋_GB2312" w:eastAsia="仿宋_GB2312"/>
                      <w:sz w:val="24"/>
                    </w:rPr>
                    <w:t>产品</w:t>
                  </w:r>
                  <w:r>
                    <w:rPr>
                      <w:rFonts w:ascii="仿宋_GB2312" w:hAnsi="仿宋_GB2312" w:cs="仿宋_GB2312" w:eastAsia="仿宋_GB2312"/>
                      <w:sz w:val="24"/>
                    </w:rPr>
                    <w:t>质保期：产品验收合格后不少于</w:t>
                  </w:r>
                  <w:r>
                    <w:rPr>
                      <w:rFonts w:ascii="仿宋_GB2312" w:hAnsi="仿宋_GB2312" w:cs="仿宋_GB2312" w:eastAsia="仿宋_GB2312"/>
                      <w:sz w:val="24"/>
                    </w:rPr>
                    <w:t>1年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1）按《民法典》中的相关条款执行。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2）未按合同要求提供服务或服务质量不能满足合同要求，采购人有权依据《民法典》有关条款及合同约定终止合同，并要求中标供应商承担违约责任。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3）中标供应商未按合同约定的交货日期交货的，每逾期一个日历日，向 采购人支付逾期交付货物价款的3%的违约金，但不超过合同总金额10%。中标供应商支付逾期交货违约金并不免除其交货的责任。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4）如中标供应商在政府采购合同规定的交货日期后4 个日历日后仍未能交货，则视为中标供应商不能交货，采购人有权解除政府采购合同，中标供应商除退还已收取的货款外，还应向采购人偿付政府采购合同总金额30%的违约金，并承担由此给采购人造成的一切损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中标供应商所交付货物及伴随的工程或服务不符合其投标承诺，存在偷工减料、以次充好情形的，采购人要求更换一次后仍不符合约定的，采购人有权解除政府采购合同，没收履约保证金，并将有关情况上报政府购监管部门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自合同签订后10个日历日内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本合同签署后三十个日历日内，由成交供应商开具发票，采购人将全部款项一次性支付到成交供应商指定银行账户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由甲乙双方共同对项目进行整体验收。按照合同约定和国家相应的标准、规范。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产品验收合格后不少于1年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（一）按《政府采购法》、《民法典》及本合同约定的相关条款执行。 （二）乙方未按合同要求提供服务或质量不能满足合同、谈判文件、响应文件等的要求，乙方必须无条件按甲方的要求进行整改，否则，甲方有权单方解除终止合同，解除合同书面通知书到达乙方之日视为合同已解除，乙方应当按照合同总额的【】%向甲方支付违约金，违约金不足以弥补甲方损失的，乙方需另行支付。同时，甲方有权对乙方的违约行为报监管机构进行相应的处罚。 （三）由于乙方技术或其他原因造成甲方设备原有故障之外的其他故障或配件损坏，乙方负责免费修复或更换配件，无法修复的，乙方应赔偿由此给甲方造成的全部损失。 （四）对于本合同约定的需乙方支付的任何费用及合同违约金，甲方均有权利从应支付合同款项中直接扣除。 （五）在合同期限内，乙方不得擅自转包、分包本合同的合同义务，否则甲方有权单方解除本合同并有权要求乙方按照本条第（二）款的规定承担根本违约责任。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1、成交供应商须在领取成交通知书时，向招标代理机构提供纸质版响应文件，响应文件正本一份，副本二份，电子U盘一份（响应文件全部内容，包含WORD版及PDF版（签字盖章扫描件）两种形式）； 2、正本和副本的封面上应清楚的标记“正本”或“副本”的字样。响应文件的正本与副本均应采用A4纸印刷，分别各自胶装成册，并编制目录和页码，不得采用活页装订。 提交的纸质响应文件须与网上上传的电子响应文化内容一致，若不一致导致的一切后果由供应商自负。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谈判主体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2024年9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供应商须提供2024年9月至今已缴纳的至少一个月纳税证明或完税证明，依法免税的单位应提供相关证明材料。（以税款所属期限为准）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非法定代表人参加投标，须提供法定代表人授权委托书原件及被授权人身份证复印件加盖公章；法定代表人参加投标时,只须提供法定代表人身份证复印件加盖公章。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供应商信用记录书面声明函》（按格式填写，提供原件）。经查，供应商未被列入“信用中国”网站记录的“失信被执行人”或“重大税收违法案件当事人”名单；不处于“中国政府采购网”记录的“政府采购严重违法失信行为记录名单”中的禁止参加政府采购活动期间。评审依据：响应文件中所附网站截图证明材料原件及网查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单位负责人为同一人或者存在直接控股、管理关系的供应商，不得参加同一合同下的政府采购活动。评审依据：响应文件中承诺函原件。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报价是否超过预算或最高限价。</w:t>
            </w:r>
          </w:p>
        </w:tc>
        <w:tc>
          <w:tcPr>
            <w:tcW w:type="dxa" w:w="1661"/>
          </w:tcPr>
          <w:p>
            <w:pPr>
              <w:pStyle w:val="null3"/>
            </w:pPr>
            <w:r>
              <w:rPr>
                <w:rFonts w:ascii="仿宋_GB2312" w:hAnsi="仿宋_GB2312" w:cs="仿宋_GB2312" w:eastAsia="仿宋_GB2312"/>
              </w:rPr>
              <w:t>谈判一览表及分项报价清单.docx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谈判一览表及分项报价清单.docx 标的清单 报价表 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谈判一览表及分项报价清单.docx 标的清单 报价表 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签字和盖章均符合谈判文件要求，且无遗漏。</w:t>
            </w:r>
          </w:p>
        </w:tc>
        <w:tc>
          <w:tcPr>
            <w:tcW w:type="dxa" w:w="1661"/>
          </w:tcPr>
          <w:p>
            <w:pPr>
              <w:pStyle w:val="null3"/>
            </w:pPr>
            <w:r>
              <w:rPr>
                <w:rFonts w:ascii="仿宋_GB2312" w:hAnsi="仿宋_GB2312" w:cs="仿宋_GB2312" w:eastAsia="仿宋_GB2312"/>
              </w:rPr>
              <w:t>响应文件封面 中小企业声明函 残疾人福利性单位声明函 谈判一览表及分项报价清单.docx 标的清单 报价表 供应商资格证明文件.docx 商务应答表.docx 响应函 产品技术参数表及技术参数证明材料.docx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商务应答表.docx 产品技术参数表及技术参数证明材料.docx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技术条款若未响应或者不满足，将视为无效响应</w:t>
            </w:r>
          </w:p>
        </w:tc>
        <w:tc>
          <w:tcPr>
            <w:tcW w:type="dxa" w:w="1661"/>
          </w:tcPr>
          <w:p>
            <w:pPr>
              <w:pStyle w:val="null3"/>
            </w:pPr>
            <w:r>
              <w:rPr>
                <w:rFonts w:ascii="仿宋_GB2312" w:hAnsi="仿宋_GB2312" w:cs="仿宋_GB2312" w:eastAsia="仿宋_GB2312"/>
              </w:rPr>
              <w:t>商务应答表.docx 产品技术参数表及技术参数证明材料.docx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响应文件封面 中小企业声明函 残疾人福利性单位声明函 谈判一览表及分项报价清单.docx 标的清单 报价表 供应商资格证明文件.docx 商务应答表.docx 响应函 产品技术参数表及技术参数证明材料.docx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详见附件：谈判一览表及分项报价清单.docx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详见附件：产品技术参数表及技术参数证明材料.docx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