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版本号：SXZY-2025-ZC-1112-220250509001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小寨商圈人员托管服务项目(二次)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SXZY-2025-ZC-1112-2</w:t>
      </w:r>
      <w:r>
        <w:br/>
      </w:r>
      <w:r>
        <w:br/>
      </w:r>
      <w:r>
        <w:br/>
      </w:r>
    </w:p>
    <w:p>
      <w:pPr>
        <w:pStyle w:val="null3"/>
        <w:jc w:val="center"/>
        <w:outlineLvl w:val="2"/>
      </w:pPr>
      <w:r>
        <w:rPr>
          <w:rFonts w:ascii="仿宋_GB2312" w:hAnsi="仿宋_GB2312" w:cs="仿宋_GB2312" w:eastAsia="仿宋_GB2312"/>
          <w:sz w:val="28"/>
          <w:b/>
        </w:rPr>
        <w:t>西安市雁塔区城市管理和综合执法局</w:t>
      </w:r>
    </w:p>
    <w:p>
      <w:pPr>
        <w:pStyle w:val="null3"/>
        <w:jc w:val="center"/>
        <w:outlineLvl w:val="2"/>
      </w:pPr>
      <w:r>
        <w:rPr>
          <w:rFonts w:ascii="仿宋_GB2312" w:hAnsi="仿宋_GB2312" w:cs="仿宋_GB2312" w:eastAsia="仿宋_GB2312"/>
          <w:sz w:val="28"/>
          <w:b/>
        </w:rPr>
        <w:t>陕西中仪项目管理有限公司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2025年05月09日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陕西中仪项目管理有限公司</w:t>
      </w:r>
      <w:r>
        <w:rPr>
          <w:rFonts w:ascii="仿宋_GB2312" w:hAnsi="仿宋_GB2312" w:cs="仿宋_GB2312" w:eastAsia="仿宋_GB2312"/>
        </w:rPr>
        <w:t>（以下简称“代理机构”）受</w:t>
      </w:r>
      <w:r>
        <w:rPr>
          <w:rFonts w:ascii="仿宋_GB2312" w:hAnsi="仿宋_GB2312" w:cs="仿宋_GB2312" w:eastAsia="仿宋_GB2312"/>
        </w:rPr>
        <w:t>西安市雁塔区城市管理和综合执法局</w:t>
      </w:r>
      <w:r>
        <w:rPr>
          <w:rFonts w:ascii="仿宋_GB2312" w:hAnsi="仿宋_GB2312" w:cs="仿宋_GB2312" w:eastAsia="仿宋_GB2312"/>
        </w:rPr>
        <w:t>委托，拟对</w:t>
      </w:r>
      <w:r>
        <w:rPr>
          <w:rFonts w:ascii="仿宋_GB2312" w:hAnsi="仿宋_GB2312" w:cs="仿宋_GB2312" w:eastAsia="仿宋_GB2312"/>
        </w:rPr>
        <w:t>小寨商圈人员托管服务项目(二次)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SXZY-2025-ZC-1112-2</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小寨商圈人员托管服务项目(二次)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小寨商圈执法队伍人员托管服务。</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采购包1（小寨商圈人员托管服务项目）：属于专门面向中小企业采购。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在中华人民共和国境内注册，依法取得并有效存续的营业执照（含电子营业执照）\事业单位法人证书\民办非企业单位登记证书\非企业专业服务机构执业许可证等。供应商需在项目电子化交易系统中按要求上传相应证明文件并进行电子签章。</w:t>
      </w:r>
    </w:p>
    <w:p>
      <w:pPr>
        <w:pStyle w:val="null3"/>
      </w:pPr>
      <w:r>
        <w:rPr>
          <w:rFonts w:ascii="仿宋_GB2312" w:hAnsi="仿宋_GB2312" w:cs="仿宋_GB2312" w:eastAsia="仿宋_GB2312"/>
        </w:rPr>
        <w:t>2、社保资金缴纳证明：提交社保资金所属日期在竞争性磋商响应文件提交截止时间前一年内至少一个月的社会保障资金缴存单据或社保机构开具的社会保险参保缴费情况证明，单据或证明上应有社保机构或代收机构的公章或业务专用章。供应商需在项目电子化交易系统中按要求上传相应证明文件并进行电子签章。</w:t>
      </w:r>
    </w:p>
    <w:p>
      <w:pPr>
        <w:pStyle w:val="null3"/>
      </w:pPr>
      <w:r>
        <w:rPr>
          <w:rFonts w:ascii="仿宋_GB2312" w:hAnsi="仿宋_GB2312" w:cs="仿宋_GB2312" w:eastAsia="仿宋_GB2312"/>
        </w:rPr>
        <w:t>3、税收缴纳证明：提交税款所属日期在竞争性磋商响应文件提交截止时间前一年内至少一个月的纳税证明或完税证明（任意税种），纳税证明或完税证明上应有代收机构或税务机关的公章或业务专用章。供应商需在项目电子化交易系统中按要求上传相应证明文件并进行电子签章。</w:t>
      </w:r>
    </w:p>
    <w:p>
      <w:pPr>
        <w:pStyle w:val="null3"/>
      </w:pPr>
      <w:r>
        <w:rPr>
          <w:rFonts w:ascii="仿宋_GB2312" w:hAnsi="仿宋_GB2312" w:cs="仿宋_GB2312" w:eastAsia="仿宋_GB2312"/>
        </w:rPr>
        <w:t>4、无重大违法记录声明：参加政府采购活动前3年内在经营活动中没有重大违法记录的书面声明。供应商需在项目电子化交易系统中按要求填写《响应函》完成承诺并进行电子签章。</w:t>
      </w:r>
    </w:p>
    <w:p>
      <w:pPr>
        <w:pStyle w:val="null3"/>
      </w:pPr>
      <w:r>
        <w:rPr>
          <w:rFonts w:ascii="仿宋_GB2312" w:hAnsi="仿宋_GB2312" w:cs="仿宋_GB2312" w:eastAsia="仿宋_GB2312"/>
        </w:rPr>
        <w:t>5、履约能力承诺：提交具有履行合同所必需的设备和专业技术能力的承诺函。供应商需在项目电子化交易系统中按要求填写《响应函》完成承诺并进行电子签章。</w:t>
      </w:r>
    </w:p>
    <w:p>
      <w:pPr>
        <w:pStyle w:val="null3"/>
      </w:pPr>
      <w:r>
        <w:rPr>
          <w:rFonts w:ascii="仿宋_GB2312" w:hAnsi="仿宋_GB2312" w:cs="仿宋_GB2312" w:eastAsia="仿宋_GB2312"/>
        </w:rPr>
        <w:t>6、法定代表人（主要负责人）委托授权书\身份证明：法定代表人（主要负责人）委托代理人参加投标时，应提供法定代表人（主要负责人）身份证明书及法定代表人（主要负责人）委托授权书；法定代表人（主要负责人）亲自参加投标时，应提供法定代表人（主要负责人）身份证明书。供应商需在项目电子化交易系统中按要求上传相应证明文件并进行电子签章。</w:t>
      </w:r>
    </w:p>
    <w:p>
      <w:pPr>
        <w:pStyle w:val="null3"/>
      </w:pPr>
      <w:r>
        <w:rPr>
          <w:rFonts w:ascii="仿宋_GB2312" w:hAnsi="仿宋_GB2312" w:cs="仿宋_GB2312" w:eastAsia="仿宋_GB2312"/>
        </w:rPr>
        <w:t>7、信用记录查询结果：供应商不得为信用中国”网站（www.creditchina.gov.cn）中重大税收违法失信主体名单的供应商，不得为“信用中国”网站（www.creditchina.gov.cn）中列入失信被执行人的供应商（页面跳转至“中国执行信息公开网”网站（zxgk.court.gov.cn）），不得为“中国政府采购网”网站（www.ccgp.gov.cn）政府采购严重违法失信行为记录名单中被财政部门禁止参加政府采购活动的供应商。</w:t>
      </w:r>
    </w:p>
    <w:p>
      <w:pPr>
        <w:pStyle w:val="null3"/>
      </w:pPr>
      <w:r>
        <w:rPr>
          <w:rFonts w:ascii="仿宋_GB2312" w:hAnsi="仿宋_GB2312" w:cs="仿宋_GB2312" w:eastAsia="仿宋_GB2312"/>
        </w:rPr>
        <w:t>8、资质要求：供应商须具有合格有效的《劳务派遣经营许可证》，且在有效期内。供应商需在项目电子化交易系统中按要求上传相应证明文件并进行电子签章。</w:t>
      </w:r>
    </w:p>
    <w:p>
      <w:pPr>
        <w:pStyle w:val="null3"/>
      </w:pPr>
      <w:r>
        <w:rPr>
          <w:rFonts w:ascii="仿宋_GB2312" w:hAnsi="仿宋_GB2312" w:cs="仿宋_GB2312" w:eastAsia="仿宋_GB2312"/>
        </w:rPr>
        <w:t>9、非联合体磋商声明：提交非联合体形式参加本项目磋商的声明函。供应商需在项目电子化交易系统中按要求上传相应证明文件并进行电子签章。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西安市雁塔区城市管理和综合执法局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西安市雁塔区东仪路3号东仪厂院</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西安市雁塔区城市管理和综合执法局经办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02985253085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陕西中仪项目管理有限公司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陕西省西安市曲江新区曲江池西路369号34幢10101室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范工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02985500589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西安市雁塔区政府采购管理股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王佳</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85241676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采购包1：631,900.00元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招标代理服务收费管理暂行办法》（计价格[2002]1980号）和国家发展改革委员会办公厅颁发的《关于招标代理服务收费有关问题的通知》（发改办价格[2003]857号）的有关规定执行。成交单位在领取成交通知书前，须向采购代理机构一次性支付代理服务费。 户名：陕西中仪项目管理有限公司 开户行：中国银行股份有限公司西安雁展路支行 账号：102496214855</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西安市雁塔区城市管理和综合执法局</w:t>
      </w:r>
      <w:r>
        <w:rPr>
          <w:rFonts w:ascii="仿宋_GB2312" w:hAnsi="仿宋_GB2312" w:cs="仿宋_GB2312" w:eastAsia="仿宋_GB2312"/>
        </w:rPr>
        <w:t>和</w:t>
      </w:r>
      <w:r>
        <w:rPr>
          <w:rFonts w:ascii="仿宋_GB2312" w:hAnsi="仿宋_GB2312" w:cs="仿宋_GB2312" w:eastAsia="仿宋_GB2312"/>
        </w:rPr>
        <w:t>陕西中仪项目管理有限公司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西安市雁塔区城市管理和综合执法局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陕西中仪项目管理有限公司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西安市雁塔区城市管理和综合执法局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陕西中仪项目管理有限公司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详见合同相应条款</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陕西中仪项目管理有限公司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陕西中仪项目管理有限公司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陕西中仪项目管理有限公司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联系人：范工</w:t>
      </w:r>
    </w:p>
    <w:p>
      <w:pPr>
        <w:pStyle w:val="null3"/>
      </w:pPr>
      <w:r>
        <w:rPr>
          <w:rFonts w:ascii="仿宋_GB2312" w:hAnsi="仿宋_GB2312" w:cs="仿宋_GB2312" w:eastAsia="仿宋_GB2312"/>
        </w:rPr>
        <w:t>联系电话：029-85500589</w:t>
      </w:r>
    </w:p>
    <w:p>
      <w:pPr>
        <w:pStyle w:val="null3"/>
      </w:pPr>
      <w:r>
        <w:rPr>
          <w:rFonts w:ascii="仿宋_GB2312" w:hAnsi="仿宋_GB2312" w:cs="仿宋_GB2312" w:eastAsia="仿宋_GB2312"/>
        </w:rPr>
        <w:t>地址：陕西省西安市曲江新区曲江池西路369号34幢10101室</w:t>
      </w:r>
    </w:p>
    <w:p>
      <w:pPr>
        <w:pStyle w:val="null3"/>
      </w:pPr>
      <w:r>
        <w:rPr>
          <w:rFonts w:ascii="仿宋_GB2312" w:hAnsi="仿宋_GB2312" w:cs="仿宋_GB2312" w:eastAsia="仿宋_GB2312"/>
        </w:rPr>
        <w:t>邮编：710061</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小寨商圈执法队伍人员托管服务。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631,900.00</w:t>
      </w:r>
    </w:p>
    <w:p>
      <w:pPr>
        <w:pStyle w:val="null3"/>
      </w:pPr>
      <w:r>
        <w:rPr>
          <w:rFonts w:ascii="仿宋_GB2312" w:hAnsi="仿宋_GB2312" w:cs="仿宋_GB2312" w:eastAsia="仿宋_GB2312"/>
        </w:rPr>
        <w:t>采购包最高限价（元）: 631,900.00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小寨商圈人员托管服务项目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631,900.00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标的名称：小寨商圈人员托管服务项目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b/>
              </w:rPr>
              <w:t>一、服务范围</w:t>
            </w:r>
          </w:p>
          <w:p>
            <w:pPr>
              <w:pStyle w:val="null3"/>
            </w:pPr>
            <w:r>
              <w:rPr>
                <w:rFonts w:ascii="仿宋_GB2312" w:hAnsi="仿宋_GB2312" w:cs="仿宋_GB2312" w:eastAsia="仿宋_GB2312"/>
              </w:rPr>
              <w:t>小寨商圈人员托管服务项目</w:t>
            </w:r>
          </w:p>
          <w:p>
            <w:pPr>
              <w:pStyle w:val="null3"/>
            </w:pPr>
            <w:r>
              <w:rPr>
                <w:rFonts w:ascii="仿宋_GB2312" w:hAnsi="仿宋_GB2312" w:cs="仿宋_GB2312" w:eastAsia="仿宋_GB2312"/>
                <w:b/>
              </w:rPr>
              <w:t>二、服务内容</w:t>
            </w:r>
          </w:p>
          <w:p>
            <w:pPr>
              <w:pStyle w:val="null3"/>
            </w:pPr>
            <w:r>
              <w:rPr>
                <w:rFonts w:ascii="仿宋_GB2312" w:hAnsi="仿宋_GB2312" w:cs="仿宋_GB2312" w:eastAsia="仿宋_GB2312"/>
              </w:rPr>
              <w:t>供应商接受采购人委托，为采购人劳务派遣员工（以下简称“派遣员工”）办理以下事宜：</w:t>
            </w:r>
          </w:p>
          <w:p>
            <w:pPr>
              <w:pStyle w:val="null3"/>
            </w:pPr>
            <w:r>
              <w:rPr>
                <w:rFonts w:ascii="仿宋_GB2312" w:hAnsi="仿宋_GB2312" w:cs="仿宋_GB2312" w:eastAsia="仿宋_GB2312"/>
              </w:rPr>
              <w:t>用工服务：供应商为采购人提供劳务派遣。被派遣员工与供应商签订劳动合同，派遣员工的工作地点、岗位、方式等工作状况由采购人根据业务需要安排。</w:t>
            </w:r>
          </w:p>
          <w:p>
            <w:pPr>
              <w:pStyle w:val="null3"/>
            </w:pPr>
            <w:r>
              <w:rPr>
                <w:rFonts w:ascii="仿宋_GB2312" w:hAnsi="仿宋_GB2312" w:cs="仿宋_GB2312" w:eastAsia="仿宋_GB2312"/>
              </w:rPr>
              <w:t>供应商负责为派遣员工办理以下手续：</w:t>
            </w:r>
          </w:p>
          <w:p>
            <w:pPr>
              <w:pStyle w:val="null3"/>
            </w:pPr>
            <w:r>
              <w:rPr>
                <w:rFonts w:ascii="仿宋_GB2312" w:hAnsi="仿宋_GB2312" w:cs="仿宋_GB2312" w:eastAsia="仿宋_GB2312"/>
              </w:rPr>
              <w:t>1.为派遣员工办理合法用工手续；</w:t>
            </w:r>
          </w:p>
          <w:p>
            <w:pPr>
              <w:pStyle w:val="null3"/>
            </w:pPr>
            <w:r>
              <w:rPr>
                <w:rFonts w:ascii="仿宋_GB2312" w:hAnsi="仿宋_GB2312" w:cs="仿宋_GB2312" w:eastAsia="仿宋_GB2312"/>
              </w:rPr>
              <w:t>2.为派遣员工建立员工档案；</w:t>
            </w:r>
          </w:p>
          <w:p>
            <w:pPr>
              <w:pStyle w:val="null3"/>
            </w:pPr>
            <w:r>
              <w:rPr>
                <w:rFonts w:ascii="仿宋_GB2312" w:hAnsi="仿宋_GB2312" w:cs="仿宋_GB2312" w:eastAsia="仿宋_GB2312"/>
              </w:rPr>
              <w:t>3.依法为派遣员工缴纳社会保险或者意外伤害险；</w:t>
            </w:r>
          </w:p>
          <w:p>
            <w:pPr>
              <w:pStyle w:val="null3"/>
            </w:pPr>
            <w:r>
              <w:rPr>
                <w:rFonts w:ascii="仿宋_GB2312" w:hAnsi="仿宋_GB2312" w:cs="仿宋_GB2312" w:eastAsia="仿宋_GB2312"/>
              </w:rPr>
              <w:t>4.处理派遣员工发生工伤、生育、医疗等相关事宜；</w:t>
            </w:r>
          </w:p>
          <w:p>
            <w:pPr>
              <w:pStyle w:val="null3"/>
            </w:pPr>
            <w:r>
              <w:rPr>
                <w:rFonts w:ascii="仿宋_GB2312" w:hAnsi="仿宋_GB2312" w:cs="仿宋_GB2312" w:eastAsia="仿宋_GB2312"/>
              </w:rPr>
              <w:t>5.根据实际需要，为派遣员工出具各种有关证明等；</w:t>
            </w:r>
          </w:p>
          <w:p>
            <w:pPr>
              <w:pStyle w:val="null3"/>
            </w:pPr>
            <w:r>
              <w:rPr>
                <w:rFonts w:ascii="仿宋_GB2312" w:hAnsi="仿宋_GB2312" w:cs="仿宋_GB2312" w:eastAsia="仿宋_GB2312"/>
              </w:rPr>
              <w:t>6.协助派遣员工办理党员组织关系的接收手续；</w:t>
            </w:r>
          </w:p>
          <w:p>
            <w:pPr>
              <w:pStyle w:val="null3"/>
            </w:pPr>
            <w:r>
              <w:rPr>
                <w:rFonts w:ascii="仿宋_GB2312" w:hAnsi="仿宋_GB2312" w:cs="仿宋_GB2312" w:eastAsia="仿宋_GB2312"/>
              </w:rPr>
              <w:t>7.供应商为采购人提供社保的年检及员工社保的申报服务。</w:t>
            </w:r>
          </w:p>
          <w:p>
            <w:pPr>
              <w:pStyle w:val="null3"/>
            </w:pPr>
            <w:r>
              <w:rPr>
                <w:rFonts w:ascii="仿宋_GB2312" w:hAnsi="仿宋_GB2312" w:cs="仿宋_GB2312" w:eastAsia="仿宋_GB2312"/>
              </w:rPr>
              <w:t>退工服务：供应商为离职的派遣员工办理合法退工手续：</w:t>
            </w:r>
          </w:p>
          <w:p>
            <w:pPr>
              <w:pStyle w:val="null3"/>
            </w:pPr>
            <w:r>
              <w:rPr>
                <w:rFonts w:ascii="仿宋_GB2312" w:hAnsi="仿宋_GB2312" w:cs="仿宋_GB2312" w:eastAsia="仿宋_GB2312"/>
              </w:rPr>
              <w:t>1.为符合条件的派遣员工办理失业金申领手续；</w:t>
            </w:r>
          </w:p>
          <w:p>
            <w:pPr>
              <w:pStyle w:val="null3"/>
            </w:pPr>
            <w:r>
              <w:rPr>
                <w:rFonts w:ascii="仿宋_GB2312" w:hAnsi="仿宋_GB2312" w:cs="仿宋_GB2312" w:eastAsia="仿宋_GB2312"/>
              </w:rPr>
              <w:t>2.为符合条件的派遣员工办理社保的转移手续；</w:t>
            </w:r>
          </w:p>
          <w:p>
            <w:pPr>
              <w:pStyle w:val="null3"/>
            </w:pPr>
            <w:r>
              <w:rPr>
                <w:rFonts w:ascii="仿宋_GB2312" w:hAnsi="仿宋_GB2312" w:cs="仿宋_GB2312" w:eastAsia="仿宋_GB2312"/>
              </w:rPr>
              <w:t>3.协助派遣员工办理党员关系的转移；</w:t>
            </w:r>
          </w:p>
          <w:p>
            <w:pPr>
              <w:pStyle w:val="null3"/>
            </w:pPr>
            <w:r>
              <w:rPr>
                <w:rFonts w:ascii="仿宋_GB2312" w:hAnsi="仿宋_GB2312" w:cs="仿宋_GB2312" w:eastAsia="仿宋_GB2312"/>
              </w:rPr>
              <w:t>4.对于非因为采购人原因与派遣员工发生的劳务争议，由供应商处理，与采购人无关。</w:t>
            </w:r>
          </w:p>
          <w:p>
            <w:pPr>
              <w:pStyle w:val="null3"/>
            </w:pPr>
            <w:r>
              <w:rPr>
                <w:rFonts w:ascii="仿宋_GB2312" w:hAnsi="仿宋_GB2312" w:cs="仿宋_GB2312" w:eastAsia="仿宋_GB2312"/>
              </w:rPr>
              <w:t>工资发放服务：供应商每月结束后编制派遣员工工资及奖金明细，并经采购人确认后由供应商发放至员工个人银行卡上；供应商将为工资发放的派遣员工统一代扣代缴个人所得税，以及通过合法有效的途径减少或避免个人所得税的缴纳。</w:t>
            </w:r>
          </w:p>
          <w:p>
            <w:pPr>
              <w:pStyle w:val="null3"/>
            </w:pPr>
            <w:r>
              <w:rPr>
                <w:rFonts w:ascii="仿宋_GB2312" w:hAnsi="仿宋_GB2312" w:cs="仿宋_GB2312" w:eastAsia="仿宋_GB2312"/>
              </w:rPr>
              <w:t>福利发放服务：根据采购人需求为派遣员工提供节日福利发放服务；</w:t>
            </w:r>
          </w:p>
          <w:p>
            <w:pPr>
              <w:pStyle w:val="null3"/>
            </w:pPr>
            <w:r>
              <w:rPr>
                <w:rFonts w:ascii="仿宋_GB2312" w:hAnsi="仿宋_GB2312" w:cs="仿宋_GB2312" w:eastAsia="仿宋_GB2312"/>
              </w:rPr>
              <w:t>政策咨询：根据采购人的情况，供应商提供本地范围内的人事、劳动、社保待遇及员工福利政策咨询，仅以政府发布政策的提供和解释为限。</w:t>
            </w:r>
          </w:p>
          <w:p>
            <w:pPr>
              <w:pStyle w:val="null3"/>
            </w:pPr>
            <w:r>
              <w:rPr>
                <w:rFonts w:ascii="仿宋_GB2312" w:hAnsi="仿宋_GB2312" w:cs="仿宋_GB2312" w:eastAsia="仿宋_GB2312"/>
                <w:b/>
              </w:rPr>
              <w:t>三、服务要求</w:t>
            </w:r>
          </w:p>
          <w:p>
            <w:pPr>
              <w:pStyle w:val="null3"/>
            </w:pPr>
            <w:r>
              <w:rPr>
                <w:rFonts w:ascii="仿宋_GB2312" w:hAnsi="仿宋_GB2312" w:cs="仿宋_GB2312" w:eastAsia="仿宋_GB2312"/>
              </w:rPr>
              <w:t>1.甲方对派遣员工的聘用有选择权、决定权，并在派遣期间具有工作安排管理指挥权。</w:t>
            </w:r>
          </w:p>
          <w:p>
            <w:pPr>
              <w:pStyle w:val="null3"/>
            </w:pPr>
            <w:r>
              <w:rPr>
                <w:rFonts w:ascii="仿宋_GB2312" w:hAnsi="仿宋_GB2312" w:cs="仿宋_GB2312" w:eastAsia="仿宋_GB2312"/>
              </w:rPr>
              <w:t>2.甲方有权根据业务需要确定派遣员工的工作地点、岗位、考核方式等标准，但上述内容应符法律法规的规定。</w:t>
            </w:r>
          </w:p>
          <w:p>
            <w:pPr>
              <w:pStyle w:val="null3"/>
            </w:pPr>
            <w:r>
              <w:rPr>
                <w:rFonts w:ascii="仿宋_GB2312" w:hAnsi="仿宋_GB2312" w:cs="仿宋_GB2312" w:eastAsia="仿宋_GB2312"/>
              </w:rPr>
              <w:t>3.甲方应履行劳动合同法第62条规定的义务，维护被派遣劳动者的合法权益。</w:t>
            </w:r>
          </w:p>
          <w:p>
            <w:pPr>
              <w:pStyle w:val="null3"/>
            </w:pPr>
            <w:r>
              <w:rPr>
                <w:rFonts w:ascii="仿宋_GB2312" w:hAnsi="仿宋_GB2312" w:cs="仿宋_GB2312" w:eastAsia="仿宋_GB2312"/>
              </w:rPr>
              <w:t>4.对于乙方与派遣员工签订劳动合同并派遣到甲方工作的员工，甲方可以设定试用期。</w:t>
            </w:r>
          </w:p>
          <w:p>
            <w:pPr>
              <w:pStyle w:val="null3"/>
            </w:pPr>
            <w:r>
              <w:rPr>
                <w:rFonts w:ascii="仿宋_GB2312" w:hAnsi="仿宋_GB2312" w:cs="仿宋_GB2312" w:eastAsia="仿宋_GB2312"/>
              </w:rPr>
              <w:t>5.派遣员工有下列情形之一的，甲方提供书面证明材料可以将派遣员工退回乙方，且无须向乙方支付经济补偿，但应提前5个工作日以书面形式通知乙方。</w:t>
            </w:r>
          </w:p>
          <w:p>
            <w:pPr>
              <w:pStyle w:val="null3"/>
            </w:pPr>
            <w:r>
              <w:rPr>
                <w:rFonts w:ascii="仿宋_GB2312" w:hAnsi="仿宋_GB2312" w:cs="仿宋_GB2312" w:eastAsia="仿宋_GB2312"/>
              </w:rPr>
              <w:t>在试用期间被证明不符合甲方录用条件的；</w:t>
            </w:r>
          </w:p>
          <w:p>
            <w:pPr>
              <w:pStyle w:val="null3"/>
            </w:pPr>
            <w:r>
              <w:rPr>
                <w:rFonts w:ascii="仿宋_GB2312" w:hAnsi="仿宋_GB2312" w:cs="仿宋_GB2312" w:eastAsia="仿宋_GB2312"/>
              </w:rPr>
              <w:t>严重违反甲方单位的规章制度的；</w:t>
            </w:r>
          </w:p>
          <w:p>
            <w:pPr>
              <w:pStyle w:val="null3"/>
            </w:pPr>
            <w:r>
              <w:rPr>
                <w:rFonts w:ascii="仿宋_GB2312" w:hAnsi="仿宋_GB2312" w:cs="仿宋_GB2312" w:eastAsia="仿宋_GB2312"/>
              </w:rPr>
              <w:t>严重失职，营私舞弊，给甲方造成重大损害的；</w:t>
            </w:r>
          </w:p>
          <w:p>
            <w:pPr>
              <w:pStyle w:val="null3"/>
            </w:pPr>
            <w:r>
              <w:rPr>
                <w:rFonts w:ascii="仿宋_GB2312" w:hAnsi="仿宋_GB2312" w:cs="仿宋_GB2312" w:eastAsia="仿宋_GB2312"/>
              </w:rPr>
              <w:t>派遣员工同时与其他用人单位建立劳动关系、对完成甲方的工作任务造成严重影响，或者经用人单位提出，拒不改正的；</w:t>
            </w:r>
          </w:p>
          <w:p>
            <w:pPr>
              <w:pStyle w:val="null3"/>
            </w:pPr>
            <w:r>
              <w:rPr>
                <w:rFonts w:ascii="仿宋_GB2312" w:hAnsi="仿宋_GB2312" w:cs="仿宋_GB2312" w:eastAsia="仿宋_GB2312"/>
              </w:rPr>
              <w:t>以欺诈、胁迫的手段或者乘人之危，使对方在违背真实意思的情况下订立或者变更劳动合同的致使劳动合同无效的；</w:t>
            </w:r>
          </w:p>
          <w:p>
            <w:pPr>
              <w:pStyle w:val="null3"/>
            </w:pPr>
            <w:r>
              <w:rPr>
                <w:rFonts w:ascii="仿宋_GB2312" w:hAnsi="仿宋_GB2312" w:cs="仿宋_GB2312" w:eastAsia="仿宋_GB2312"/>
              </w:rPr>
              <w:t>被依法追究刑事责任的；</w:t>
            </w:r>
          </w:p>
          <w:p>
            <w:pPr>
              <w:pStyle w:val="null3"/>
            </w:pPr>
            <w:r>
              <w:rPr>
                <w:rFonts w:ascii="仿宋_GB2312" w:hAnsi="仿宋_GB2312" w:cs="仿宋_GB2312" w:eastAsia="仿宋_GB2312"/>
              </w:rPr>
              <w:t>派遣期未满，被派遣员工提出停止派遣或擅自离岗；</w:t>
            </w:r>
          </w:p>
          <w:p>
            <w:pPr>
              <w:pStyle w:val="null3"/>
            </w:pPr>
            <w:r>
              <w:rPr>
                <w:rFonts w:ascii="仿宋_GB2312" w:hAnsi="仿宋_GB2312" w:cs="仿宋_GB2312" w:eastAsia="仿宋_GB2312"/>
              </w:rPr>
              <w:t>其他符合法律、法规、政策规定的情形。</w:t>
            </w:r>
          </w:p>
          <w:p>
            <w:pPr>
              <w:pStyle w:val="null3"/>
            </w:pPr>
            <w:r>
              <w:rPr>
                <w:rFonts w:ascii="仿宋_GB2312" w:hAnsi="仿宋_GB2312" w:cs="仿宋_GB2312" w:eastAsia="仿宋_GB2312"/>
              </w:rPr>
              <w:t>6.派遣员工有下列情形之一的，甲方有权将派遣人员退回乙方，但应提前30日以书面形式通知乙方，涉及以下情况所产生经济补偿，甲方按照国家有关规定办理。</w:t>
            </w:r>
          </w:p>
          <w:p>
            <w:pPr>
              <w:pStyle w:val="null3"/>
            </w:pPr>
            <w:r>
              <w:rPr>
                <w:rFonts w:ascii="仿宋_GB2312" w:hAnsi="仿宋_GB2312" w:cs="仿宋_GB2312" w:eastAsia="仿宋_GB2312"/>
              </w:rPr>
              <w:t>患病或者非因工负伤，在规定的医疗期满后不能从事原工作，也不能从事由用人单位另行安排的工作的；</w:t>
            </w:r>
          </w:p>
          <w:p>
            <w:pPr>
              <w:pStyle w:val="null3"/>
            </w:pPr>
            <w:r>
              <w:rPr>
                <w:rFonts w:ascii="仿宋_GB2312" w:hAnsi="仿宋_GB2312" w:cs="仿宋_GB2312" w:eastAsia="仿宋_GB2312"/>
              </w:rPr>
              <w:t>不能胜任工作，经过培训或者调整工作岗位，仍不能胜任工作的；</w:t>
            </w:r>
          </w:p>
          <w:p>
            <w:pPr>
              <w:pStyle w:val="null3"/>
            </w:pPr>
            <w:r>
              <w:rPr>
                <w:rFonts w:ascii="仿宋_GB2312" w:hAnsi="仿宋_GB2312" w:cs="仿宋_GB2312" w:eastAsia="仿宋_GB2312"/>
              </w:rPr>
              <w:t>本协议订立时所依据的客观情况发生重大变化，致使劳动合同无法履行，经甲、乙双方与其协商，未能就变更劳动合同内容达成协议的；</w:t>
            </w:r>
          </w:p>
          <w:p>
            <w:pPr>
              <w:pStyle w:val="null3"/>
            </w:pPr>
            <w:r>
              <w:rPr>
                <w:rFonts w:ascii="仿宋_GB2312" w:hAnsi="仿宋_GB2312" w:cs="仿宋_GB2312" w:eastAsia="仿宋_GB2312"/>
              </w:rPr>
              <w:t>派遣员工派遣期限满而终止派遣的（除用工单位维持或提高劳动条件，但派遣员工拒绝续签的情形以外）；</w:t>
            </w:r>
          </w:p>
          <w:p>
            <w:pPr>
              <w:pStyle w:val="null3"/>
            </w:pPr>
            <w:r>
              <w:rPr>
                <w:rFonts w:ascii="仿宋_GB2312" w:hAnsi="仿宋_GB2312" w:cs="仿宋_GB2312" w:eastAsia="仿宋_GB2312"/>
              </w:rPr>
              <w:t>经甲、乙双方和派遣员工协商，达成书面协议同意解除派遣的；</w:t>
            </w:r>
          </w:p>
          <w:p>
            <w:pPr>
              <w:pStyle w:val="null3"/>
            </w:pPr>
            <w:r>
              <w:rPr>
                <w:rFonts w:ascii="仿宋_GB2312" w:hAnsi="仿宋_GB2312" w:cs="仿宋_GB2312" w:eastAsia="仿宋_GB2312"/>
              </w:rPr>
              <w:t>法律、法规规定的其他情形。</w:t>
            </w:r>
          </w:p>
          <w:p>
            <w:pPr>
              <w:pStyle w:val="null3"/>
            </w:pPr>
            <w:r>
              <w:rPr>
                <w:rFonts w:ascii="仿宋_GB2312" w:hAnsi="仿宋_GB2312" w:cs="仿宋_GB2312" w:eastAsia="仿宋_GB2312"/>
              </w:rPr>
              <w:t>7.根据法律规定和地方政府的规定，甲方要求乙方代办的有关事项所发生的实际费用，由甲方支付。</w:t>
            </w:r>
          </w:p>
          <w:p>
            <w:pPr>
              <w:pStyle w:val="null3"/>
            </w:pPr>
            <w:r>
              <w:rPr>
                <w:rFonts w:ascii="仿宋_GB2312" w:hAnsi="仿宋_GB2312" w:cs="仿宋_GB2312" w:eastAsia="仿宋_GB2312"/>
              </w:rPr>
              <w:t>8.甲方有权随时派员查看派遣员工的社保保险账目，乙方必须配合。</w:t>
            </w:r>
          </w:p>
          <w:p>
            <w:pPr>
              <w:pStyle w:val="null3"/>
            </w:pPr>
            <w:r>
              <w:rPr>
                <w:rFonts w:ascii="仿宋_GB2312" w:hAnsi="仿宋_GB2312" w:cs="仿宋_GB2312" w:eastAsia="仿宋_GB2312"/>
              </w:rPr>
              <w:t>9.甲方每月18日前向乙方提供次月劳务派遣新增及离职人员信息，因甲方提供离职信息不及时从而造成乙方已申报缴纳社保费用，且社保部门不予以退费时，已产生的个人及单位的社保费用由甲方承担。</w:t>
            </w:r>
          </w:p>
          <w:p>
            <w:pPr>
              <w:pStyle w:val="null3"/>
            </w:pPr>
            <w:r>
              <w:rPr>
                <w:rFonts w:ascii="仿宋_GB2312" w:hAnsi="仿宋_GB2312" w:cs="仿宋_GB2312" w:eastAsia="仿宋_GB2312"/>
              </w:rPr>
              <w:t>10.甲方应依法向乙方派遣员工提供符合劳动保护规定的工作场所、工作条件和福利待遇。派遣员工从事有职业危害工作的，甲方应依照国家相关法律规定执行。</w:t>
            </w:r>
          </w:p>
          <w:p>
            <w:pPr>
              <w:pStyle w:val="null3"/>
            </w:pPr>
            <w:r>
              <w:rPr>
                <w:rFonts w:ascii="仿宋_GB2312" w:hAnsi="仿宋_GB2312" w:cs="仿宋_GB2312" w:eastAsia="仿宋_GB2312"/>
              </w:rPr>
              <w:t>11.甲方有权对派遣员工的工作班次、休息日，根据工作需要合理调整。如甲方需安排派遣员工加班的，甲方应支付加班费并应符合政府的有关规定；</w:t>
            </w:r>
          </w:p>
          <w:p>
            <w:pPr>
              <w:pStyle w:val="null3"/>
            </w:pPr>
            <w:r>
              <w:rPr>
                <w:rFonts w:ascii="仿宋_GB2312" w:hAnsi="仿宋_GB2312" w:cs="仿宋_GB2312" w:eastAsia="仿宋_GB2312"/>
              </w:rPr>
              <w:t>12.甲方在接到派遣人员的离职通知后，甲方应在5日（如遇国家法定节假日顺延）内书面告知乙方并将派遣人员经本人签字的辞职申请或其它资料交乙方。</w:t>
            </w:r>
          </w:p>
          <w:p>
            <w:pPr>
              <w:pStyle w:val="null3"/>
            </w:pPr>
            <w:r>
              <w:rPr>
                <w:rFonts w:ascii="仿宋_GB2312" w:hAnsi="仿宋_GB2312" w:cs="仿宋_GB2312" w:eastAsia="仿宋_GB2312"/>
                <w:b/>
              </w:rPr>
              <w:t>四、服务标准</w:t>
            </w:r>
          </w:p>
          <w:p>
            <w:pPr>
              <w:pStyle w:val="null3"/>
            </w:pPr>
            <w:r>
              <w:rPr>
                <w:rFonts w:ascii="仿宋_GB2312" w:hAnsi="仿宋_GB2312" w:cs="仿宋_GB2312" w:eastAsia="仿宋_GB2312"/>
              </w:rPr>
              <w:t>国家及行业相关标准。</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满足项目需求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满足项目需求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满足项目需求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详见合同相应条款</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每月结束后编制派遣员工工资及奖金明细，并经采购人确认</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每月结束后编制派遣员工工资及奖金明细，并经采购人确认</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每月结束后编制派遣员工工资及奖金明细，并经采购人确认</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每月结束后编制派遣员工工资及奖金明细，并经采购人确认</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每月结束后编制派遣员工工资及奖金明细，并经采购人确认</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每月结束后编制派遣员工工资及奖金明细，并经采购人确认</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每月结束后编制派遣员工工资及奖金明细，并经采购人确认</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每月结束后编制派遣员工工资及奖金明细，并经采购人确认</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每月结束后编制派遣员工工资及奖金明细，并经采购人确认</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9.00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每月结束后编制派遣员工工资及奖金明细，并经采购人确认</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9.00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每月结束后编制派遣员工工资及奖金明细，并经采购人确认</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9.00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每月结束后编制派遣员工工资及奖金明细，并经采购人确认</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9.00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详见合同相应条款</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1、供应商所报的价格应考虑到可能发生的所有与完成本项目相关服务及履行合同义务有关的一切费用，任何有选择的报价将不予接受，按无效磋商处理。 2、本项目所属行业为：租赁和商务服务业。根据《工业和信息化部、国家统计局、国家发展和改革委员会、财政部关于印发中小企业划型标准规定的通知》《工信部联企业(2011)300 号)规定的划分标准, 从业人员300人以下或资产总额120000万元以下的为中小微型企业。其中，从业人员100人及以上，且资产总额8000万元及以上的为中型企业;从业人员10人及以上，且资产总额100万元及以上的为小型企业;从业人员10人以下或资产总额100万元以下的为微型企业。 3、成交供应商在领取成交通知书前，需向采购代理机构提交加盖公章的纸质版响应文件三套，成交供应商应保持响应文件纸质版内容与系统上传内容完全一致，否则将承担一切法律责任 。</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关于财务会计制度的证明材料｛注：①可提供2023或2024年度经审计的具有赋码查验功能的财务报告（包含审计报告和审计报告中所涉及的财务报表和报表附注），②可提供截至响应文件提交截止日一年内银行出具的资信证明（附基本存款账户信息），③供应商注册时间截至响应文件提交截止日不足一年的，可提供成立后任意时段的资产负债表。｝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参与的供应商（联合体）服务全部由符合政策要求的中小微企业承接。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在中华人民共和国境内注册，依法取得并有效存续的营业执照（含电子营业执照）\事业单位法人证书\民办非企业单位登记证书\非企业专业服务机构执业许可证等。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社保资金缴纳证明</w:t>
            </w:r>
          </w:p>
        </w:tc>
        <w:tc>
          <w:tcPr>
            <w:tcW w:type="dxa" w:w="3322"/>
          </w:tcPr>
          <w:p>
            <w:pPr>
              <w:pStyle w:val="null3"/>
            </w:pPr>
            <w:r>
              <w:rPr>
                <w:rFonts w:ascii="仿宋_GB2312" w:hAnsi="仿宋_GB2312" w:cs="仿宋_GB2312" w:eastAsia="仿宋_GB2312"/>
              </w:rPr>
              <w:t>提交社保资金所属日期在竞争性磋商响应文件提交截止时间前一年内至少一个月的社会保障资金缴存单据或社保机构开具的社会保险参保缴费情况证明，单据或证明上应有社保机构或代收机构的公章或业务专用章。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交税款所属日期在竞争性磋商响应文件提交截止时间前一年内至少一个月的纳税证明或完税证明（任意税种），纳税证明或完税证明上应有代收机构或税务机关的公章或业务专用章。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履约能力承诺</w:t>
            </w:r>
          </w:p>
        </w:tc>
        <w:tc>
          <w:tcPr>
            <w:tcW w:type="dxa" w:w="3322"/>
          </w:tcPr>
          <w:p>
            <w:pPr>
              <w:pStyle w:val="null3"/>
            </w:pPr>
            <w:r>
              <w:rPr>
                <w:rFonts w:ascii="仿宋_GB2312" w:hAnsi="仿宋_GB2312" w:cs="仿宋_GB2312" w:eastAsia="仿宋_GB2312"/>
              </w:rPr>
              <w:t>提交具有履行合同所必需的设备和专业技术能力的承诺函。供应商需在项目电子化交易系统中按要求填写《响应函》完成承诺并进行电子签章。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法定代表人（主要负责人）委托授权书\身份证明</w:t>
            </w:r>
          </w:p>
        </w:tc>
        <w:tc>
          <w:tcPr>
            <w:tcW w:type="dxa" w:w="3322"/>
          </w:tcPr>
          <w:p>
            <w:pPr>
              <w:pStyle w:val="null3"/>
            </w:pPr>
            <w:r>
              <w:rPr>
                <w:rFonts w:ascii="仿宋_GB2312" w:hAnsi="仿宋_GB2312" w:cs="仿宋_GB2312" w:eastAsia="仿宋_GB2312"/>
              </w:rPr>
              <w:t>法定代表人（主要负责人）委托代理人参加投标时，应提供法定代表人（主要负责人）身份证明书及法定代表人（主要负责人）委托授权书；法定代表人（主要负责人）亲自参加投标时，应提供法定代表人（主要负责人）身份证明书。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信用记录查询结果</w:t>
            </w:r>
          </w:p>
        </w:tc>
        <w:tc>
          <w:tcPr>
            <w:tcW w:type="dxa" w:w="3322"/>
          </w:tcPr>
          <w:p>
            <w:pPr>
              <w:pStyle w:val="null3"/>
            </w:pPr>
            <w:r>
              <w:rPr>
                <w:rFonts w:ascii="仿宋_GB2312" w:hAnsi="仿宋_GB2312" w:cs="仿宋_GB2312" w:eastAsia="仿宋_GB2312"/>
              </w:rPr>
              <w:t>供应商不得为信用中国”网站（www.creditchina.gov.cn）中重大税收违法失信主体名单的供应商，不得为“信用中国”网站（www.creditchina.gov.cn）中列入失信被执行人的供应商（页面跳转至“中国执行信息公开网”网站（zxgk.court.gov.cn）），不得为“中国政府采购网”网站（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供应商须具有合格有效的《劳务派遣经营许可证》，且在有效期内。供应商需在项目电子化交易系统中按要求上传相应证明文件并进行电子签章。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非联合体磋商声明</w:t>
            </w:r>
          </w:p>
        </w:tc>
        <w:tc>
          <w:tcPr>
            <w:tcW w:type="dxa" w:w="3322"/>
          </w:tcPr>
          <w:p>
            <w:pPr>
              <w:pStyle w:val="null3"/>
            </w:pPr>
            <w:r>
              <w:rPr>
                <w:rFonts w:ascii="仿宋_GB2312" w:hAnsi="仿宋_GB2312" w:cs="仿宋_GB2312" w:eastAsia="仿宋_GB2312"/>
              </w:rPr>
              <w:t>提交非联合体形式参加本项目磋商的声明函。供应商需在项目电子化交易系统中按要求上传相应证明文件并进行电子签章。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与营业执照一致。</w:t>
            </w:r>
          </w:p>
        </w:tc>
        <w:tc>
          <w:tcPr>
            <w:tcW w:type="dxa" w:w="1661"/>
          </w:tcPr>
          <w:p>
            <w:pPr>
              <w:pStyle w:val="null3"/>
            </w:pPr>
            <w:r>
              <w:rPr>
                <w:rFonts w:ascii="仿宋_GB2312" w:hAnsi="仿宋_GB2312" w:cs="仿宋_GB2312" w:eastAsia="仿宋_GB2312"/>
              </w:rPr>
              <w:t>资格证明材料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供应商响应有效期自提交响应文件截止之日起不少于90天。供应商需在项目电子化交易系统中按要求填写《响应函》完成承诺并进行电子签章。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响应有效性</w:t>
            </w:r>
          </w:p>
        </w:tc>
        <w:tc>
          <w:tcPr>
            <w:tcW w:type="dxa" w:w="3322"/>
          </w:tcPr>
          <w:p>
            <w:pPr>
              <w:pStyle w:val="null3"/>
            </w:pPr>
            <w:r>
              <w:rPr>
                <w:rFonts w:ascii="仿宋_GB2312" w:hAnsi="仿宋_GB2312" w:cs="仿宋_GB2312" w:eastAsia="仿宋_GB2312"/>
              </w:rPr>
              <w:t>磋商响应文件内容应全面响应磋商文件要求，且无未实质性响应及无效标的情形。</w:t>
            </w:r>
          </w:p>
        </w:tc>
        <w:tc>
          <w:tcPr>
            <w:tcW w:type="dxa" w:w="1661"/>
          </w:tcPr>
          <w:p>
            <w:pPr>
              <w:pStyle w:val="null3"/>
            </w:pPr>
            <w:r>
              <w:rPr>
                <w:rFonts w:ascii="仿宋_GB2312" w:hAnsi="仿宋_GB2312" w:cs="仿宋_GB2312" w:eastAsia="仿宋_GB2312"/>
              </w:rPr>
              <w:t>商务响应偏离表 供应商承诺书 合同条款响应偏离表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供应商需在项目电子化交易系统中按要求填写《报价表》、《标的清单》并进行电子签章。</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签字盖章</w:t>
            </w:r>
          </w:p>
        </w:tc>
        <w:tc>
          <w:tcPr>
            <w:tcW w:type="dxa" w:w="3322"/>
          </w:tcPr>
          <w:p>
            <w:pPr>
              <w:pStyle w:val="null3"/>
            </w:pPr>
            <w:r>
              <w:rPr>
                <w:rFonts w:ascii="仿宋_GB2312" w:hAnsi="仿宋_GB2312" w:cs="仿宋_GB2312" w:eastAsia="仿宋_GB2312"/>
              </w:rPr>
              <w:t>供应商需在项目电子化交易系统中按要求编制磋商响应文件并进行电子签章。</w:t>
            </w:r>
          </w:p>
        </w:tc>
        <w:tc>
          <w:tcPr>
            <w:tcW w:type="dxa" w:w="1661"/>
          </w:tcPr>
          <w:p>
            <w:pPr>
              <w:pStyle w:val="null3"/>
            </w:pPr>
            <w:r>
              <w:rPr>
                <w:rFonts w:ascii="仿宋_GB2312" w:hAnsi="仿宋_GB2312" w:cs="仿宋_GB2312" w:eastAsia="仿宋_GB2312"/>
              </w:rPr>
              <w:t>响应文件封面</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项目理解</w:t>
            </w:r>
          </w:p>
        </w:tc>
        <w:tc>
          <w:tcPr>
            <w:tcW w:type="dxa" w:w="2492"/>
          </w:tcPr>
          <w:p>
            <w:pPr>
              <w:pStyle w:val="null3"/>
            </w:pPr>
            <w:r>
              <w:rPr>
                <w:rFonts w:ascii="仿宋_GB2312" w:hAnsi="仿宋_GB2312" w:cs="仿宋_GB2312" w:eastAsia="仿宋_GB2312"/>
              </w:rPr>
              <w:t>根据各供应商对本项目采购需求理解是否透彻，是否有清晰的服务思路。 采购需求理解透彻、具有清晰完善的服务思路，得10分； 采购需求理解较为透彻、服务思路较为完善，得8分； 采购需求理解一般、服务思路一般，得6分； 采购需求理解较差，服务思路不合理，得3分； 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技术（服务）方案说明书</w:t>
            </w:r>
          </w:p>
          <w:p>
            <w:pPr>
              <w:pStyle w:val="null3"/>
            </w:pPr>
            <w:r>
              <w:rPr>
                <w:rFonts w:ascii="仿宋_GB2312" w:hAnsi="仿宋_GB2312" w:cs="仿宋_GB2312" w:eastAsia="仿宋_GB2312"/>
              </w:rPr>
              <w:t>其它资料</w:t>
            </w:r>
          </w:p>
        </w:tc>
      </w:tr>
      <w:tr>
        <w:tc>
          <w:tcPr>
            <w:tcW w:type="dxa" w:w="831"/>
            <w:vMerge/>
          </w:tcPr>
          <w:p/>
        </w:tc>
        <w:tc>
          <w:tcPr>
            <w:tcW w:type="dxa" w:w="1661"/>
          </w:tcPr>
          <w:p>
            <w:pPr>
              <w:pStyle w:val="null3"/>
            </w:pPr>
            <w:r>
              <w:rPr>
                <w:rFonts w:ascii="仿宋_GB2312" w:hAnsi="仿宋_GB2312" w:cs="仿宋_GB2312" w:eastAsia="仿宋_GB2312"/>
              </w:rPr>
              <w:t>总体服务方案</w:t>
            </w:r>
          </w:p>
        </w:tc>
        <w:tc>
          <w:tcPr>
            <w:tcW w:type="dxa" w:w="2492"/>
          </w:tcPr>
          <w:p>
            <w:pPr>
              <w:pStyle w:val="null3"/>
            </w:pPr>
            <w:r>
              <w:rPr>
                <w:rFonts w:ascii="仿宋_GB2312" w:hAnsi="仿宋_GB2312" w:cs="仿宋_GB2312" w:eastAsia="仿宋_GB2312"/>
              </w:rPr>
              <w:t>根据本项目采购需求，提供总体服务方案。 内容全面、科学合理，可行性、针对性强，能完全满足项目需求，得10分； 内容较为全面、较为科学合理、可行性、针对性较强，满足项目需求，得8分； 内容基本全面、可行性、针对性一般，基本满足项目需求，得6分； 内容不完整、可行性、针对性差，存在重大缺陷，得3分； 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技术（服务）方案说明书</w:t>
            </w:r>
          </w:p>
          <w:p>
            <w:pPr>
              <w:pStyle w:val="null3"/>
            </w:pPr>
            <w:r>
              <w:rPr>
                <w:rFonts w:ascii="仿宋_GB2312" w:hAnsi="仿宋_GB2312" w:cs="仿宋_GB2312" w:eastAsia="仿宋_GB2312"/>
              </w:rPr>
              <w:t>其它资料</w:t>
            </w:r>
          </w:p>
        </w:tc>
      </w:tr>
      <w:tr>
        <w:tc>
          <w:tcPr>
            <w:tcW w:type="dxa" w:w="831"/>
            <w:vMerge/>
          </w:tcPr>
          <w:p/>
        </w:tc>
        <w:tc>
          <w:tcPr>
            <w:tcW w:type="dxa" w:w="1661"/>
          </w:tcPr>
          <w:p>
            <w:pPr>
              <w:pStyle w:val="null3"/>
            </w:pPr>
            <w:r>
              <w:rPr>
                <w:rFonts w:ascii="仿宋_GB2312" w:hAnsi="仿宋_GB2312" w:cs="仿宋_GB2312" w:eastAsia="仿宋_GB2312"/>
              </w:rPr>
              <w:t>服务质量保障措施</w:t>
            </w:r>
          </w:p>
        </w:tc>
        <w:tc>
          <w:tcPr>
            <w:tcW w:type="dxa" w:w="2492"/>
          </w:tcPr>
          <w:p>
            <w:pPr>
              <w:pStyle w:val="null3"/>
            </w:pPr>
            <w:r>
              <w:rPr>
                <w:rFonts w:ascii="仿宋_GB2312" w:hAnsi="仿宋_GB2312" w:cs="仿宋_GB2312" w:eastAsia="仿宋_GB2312"/>
              </w:rPr>
              <w:t>针对本项目服务内容，有完善的服务质量保障措施，满足本项目采购需求。 内容科学全面、可行性强，得10分； 内容较为科学全面、可行性较强，得8分； 内容基本全面、可行性一般，得6分； 内容存在重大缺陷、可行性差，得3分； 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技术（服务）方案说明书</w:t>
            </w:r>
          </w:p>
          <w:p>
            <w:pPr>
              <w:pStyle w:val="null3"/>
            </w:pPr>
            <w:r>
              <w:rPr>
                <w:rFonts w:ascii="仿宋_GB2312" w:hAnsi="仿宋_GB2312" w:cs="仿宋_GB2312" w:eastAsia="仿宋_GB2312"/>
              </w:rPr>
              <w:t>其它资料</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针对用人单位特点，对易发生劳动纠纷的风险，具有处理劳动争议，解决劳务纠纷的能力，针对派遣人员因公患病、工伤或工亡的善后工作的处置措施； 内容科学全面、可行性强，得10分； 内容较为科学全面、可行性较强，得8分； 内容基本全面、可行性一般，得6分； 内容存在重大缺陷、可行性差，得3分； 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技术（服务）方案说明书</w:t>
            </w:r>
          </w:p>
          <w:p>
            <w:pPr>
              <w:pStyle w:val="null3"/>
            </w:pPr>
            <w:r>
              <w:rPr>
                <w:rFonts w:ascii="仿宋_GB2312" w:hAnsi="仿宋_GB2312" w:cs="仿宋_GB2312" w:eastAsia="仿宋_GB2312"/>
              </w:rPr>
              <w:t>其它资料</w:t>
            </w:r>
          </w:p>
        </w:tc>
      </w:tr>
      <w:tr>
        <w:tc>
          <w:tcPr>
            <w:tcW w:type="dxa" w:w="831"/>
            <w:vMerge/>
          </w:tcPr>
          <w:p/>
        </w:tc>
        <w:tc>
          <w:tcPr>
            <w:tcW w:type="dxa" w:w="1661"/>
          </w:tcPr>
          <w:p>
            <w:pPr>
              <w:pStyle w:val="null3"/>
            </w:pPr>
            <w:r>
              <w:rPr>
                <w:rFonts w:ascii="仿宋_GB2312" w:hAnsi="仿宋_GB2312" w:cs="仿宋_GB2312" w:eastAsia="仿宋_GB2312"/>
              </w:rPr>
              <w:t>管理制度</w:t>
            </w:r>
          </w:p>
        </w:tc>
        <w:tc>
          <w:tcPr>
            <w:tcW w:type="dxa" w:w="2492"/>
          </w:tcPr>
          <w:p>
            <w:pPr>
              <w:pStyle w:val="null3"/>
            </w:pPr>
            <w:r>
              <w:rPr>
                <w:rFonts w:ascii="仿宋_GB2312" w:hAnsi="仿宋_GB2312" w:cs="仿宋_GB2312" w:eastAsia="仿宋_GB2312"/>
              </w:rPr>
              <w:t>管理制度完整、详细、科学合理，得10分； 管理制度较完整、较详细，得8分； 管理制度基本合理，较为粗略，得6分； 管理制度存在重大缺陷，可行性差，得3分； 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技术（服务）方案说明书</w:t>
            </w:r>
          </w:p>
          <w:p>
            <w:pPr>
              <w:pStyle w:val="null3"/>
            </w:pPr>
            <w:r>
              <w:rPr>
                <w:rFonts w:ascii="仿宋_GB2312" w:hAnsi="仿宋_GB2312" w:cs="仿宋_GB2312" w:eastAsia="仿宋_GB2312"/>
              </w:rPr>
              <w:t>其它资料</w:t>
            </w:r>
          </w:p>
        </w:tc>
      </w:tr>
      <w:tr>
        <w:tc>
          <w:tcPr>
            <w:tcW w:type="dxa" w:w="831"/>
            <w:vMerge/>
          </w:tcPr>
          <w:p/>
        </w:tc>
        <w:tc>
          <w:tcPr>
            <w:tcW w:type="dxa" w:w="1661"/>
          </w:tcPr>
          <w:p>
            <w:pPr>
              <w:pStyle w:val="null3"/>
            </w:pPr>
            <w:r>
              <w:rPr>
                <w:rFonts w:ascii="仿宋_GB2312" w:hAnsi="仿宋_GB2312" w:cs="仿宋_GB2312" w:eastAsia="仿宋_GB2312"/>
              </w:rPr>
              <w:t>保密措施</w:t>
            </w:r>
          </w:p>
        </w:tc>
        <w:tc>
          <w:tcPr>
            <w:tcW w:type="dxa" w:w="2492"/>
          </w:tcPr>
          <w:p>
            <w:pPr>
              <w:pStyle w:val="null3"/>
            </w:pPr>
            <w:r>
              <w:rPr>
                <w:rFonts w:ascii="仿宋_GB2312" w:hAnsi="仿宋_GB2312" w:cs="仿宋_GB2312" w:eastAsia="仿宋_GB2312"/>
              </w:rPr>
              <w:t>针对本项目服务对象及服务内容，供应商对服务人员有完善的保密措施。 保密措施完整、详细、科学合理，得10分； 保密措施较完整、较详细，得8分； 保密措施基本合理，较为粗略，得6分； 保密措施存在重大缺陷，可行性差，得3分； 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技术（服务）方案说明书</w:t>
            </w:r>
          </w:p>
          <w:p>
            <w:pPr>
              <w:pStyle w:val="null3"/>
            </w:pPr>
            <w:r>
              <w:rPr>
                <w:rFonts w:ascii="仿宋_GB2312" w:hAnsi="仿宋_GB2312" w:cs="仿宋_GB2312" w:eastAsia="仿宋_GB2312"/>
              </w:rPr>
              <w:t>其它资料</w:t>
            </w:r>
          </w:p>
        </w:tc>
      </w:tr>
      <w:tr>
        <w:tc>
          <w:tcPr>
            <w:tcW w:type="dxa" w:w="831"/>
            <w:vMerge/>
          </w:tcPr>
          <w:p/>
        </w:tc>
        <w:tc>
          <w:tcPr>
            <w:tcW w:type="dxa" w:w="1661"/>
          </w:tcPr>
          <w:p>
            <w:pPr>
              <w:pStyle w:val="null3"/>
            </w:pPr>
            <w:r>
              <w:rPr>
                <w:rFonts w:ascii="仿宋_GB2312" w:hAnsi="仿宋_GB2312" w:cs="仿宋_GB2312" w:eastAsia="仿宋_GB2312"/>
              </w:rPr>
              <w:t>团队人员</w:t>
            </w:r>
          </w:p>
        </w:tc>
        <w:tc>
          <w:tcPr>
            <w:tcW w:type="dxa" w:w="2492"/>
          </w:tcPr>
          <w:p>
            <w:pPr>
              <w:pStyle w:val="null3"/>
            </w:pPr>
            <w:r>
              <w:rPr>
                <w:rFonts w:ascii="仿宋_GB2312" w:hAnsi="仿宋_GB2312" w:cs="仿宋_GB2312" w:eastAsia="仿宋_GB2312"/>
              </w:rPr>
              <w:t>团队人员数量充足、配备合理、职责明确，完全满足项目需求，得10分； 团队人员数量较为充足、配备较为合理、职责较为明确，满足项目需求，得8分； 团队人员数量较少、配备基本合理、职责基本明确，基本满足项目需求，得6分； 团队员数量少、配备不合理、职责不明确，得3分； 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技术（服务）方案说明书</w:t>
            </w:r>
          </w:p>
          <w:p>
            <w:pPr>
              <w:pStyle w:val="null3"/>
            </w:pPr>
            <w:r>
              <w:rPr>
                <w:rFonts w:ascii="仿宋_GB2312" w:hAnsi="仿宋_GB2312" w:cs="仿宋_GB2312" w:eastAsia="仿宋_GB2312"/>
              </w:rPr>
              <w:t>其它资料</w:t>
            </w:r>
          </w:p>
        </w:tc>
      </w:tr>
      <w:tr>
        <w:tc>
          <w:tcPr>
            <w:tcW w:type="dxa" w:w="831"/>
            <w:vMerge/>
          </w:tcPr>
          <w:p/>
        </w:tc>
        <w:tc>
          <w:tcPr>
            <w:tcW w:type="dxa" w:w="1661"/>
          </w:tcPr>
          <w:p>
            <w:pPr>
              <w:pStyle w:val="null3"/>
            </w:pPr>
            <w:r>
              <w:rPr>
                <w:rFonts w:ascii="仿宋_GB2312" w:hAnsi="仿宋_GB2312" w:cs="仿宋_GB2312" w:eastAsia="仿宋_GB2312"/>
              </w:rPr>
              <w:t>人员培训方案</w:t>
            </w:r>
          </w:p>
        </w:tc>
        <w:tc>
          <w:tcPr>
            <w:tcW w:type="dxa" w:w="2492"/>
          </w:tcPr>
          <w:p>
            <w:pPr>
              <w:pStyle w:val="null3"/>
            </w:pPr>
            <w:r>
              <w:rPr>
                <w:rFonts w:ascii="仿宋_GB2312" w:hAnsi="仿宋_GB2312" w:cs="仿宋_GB2312" w:eastAsia="仿宋_GB2312"/>
              </w:rPr>
              <w:t>针对用人单位特点，对所派遣人员进行科学、合理、有针对性的培训，提供相关培训方案。 方案科学全面、可行性强，得7分； 方案较为科学全面、可行性较强，得5分； 方案基本全面、可行性一般，得3分； 方案存在重大缺陷、可行性差，得1分； 未提供得0分。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技术（服务）方案说明书</w:t>
            </w:r>
          </w:p>
          <w:p>
            <w:pPr>
              <w:pStyle w:val="null3"/>
            </w:pPr>
            <w:r>
              <w:rPr>
                <w:rFonts w:ascii="仿宋_GB2312" w:hAnsi="仿宋_GB2312" w:cs="仿宋_GB2312" w:eastAsia="仿宋_GB2312"/>
              </w:rPr>
              <w:t>其它资料</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根据对本项目理解程度自行提出有利于采购人的服务承诺。 承诺完整、考虑全面、细节描述详细，得5分； 承诺较为完整全面、细节描述较为详细，得4分； 承诺基本全面、细节描述一般，得3分； 承诺内容较少、考虑欠缺、描述简单，得2分。 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技术（服务）方案说明书</w:t>
            </w:r>
          </w:p>
          <w:p>
            <w:pPr>
              <w:pStyle w:val="null3"/>
            </w:pPr>
            <w:r>
              <w:rPr>
                <w:rFonts w:ascii="仿宋_GB2312" w:hAnsi="仿宋_GB2312" w:cs="仿宋_GB2312" w:eastAsia="仿宋_GB2312"/>
              </w:rPr>
              <w:t>其它资料</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根据对本项目理解程度提出有利于采购人的合理化建议。 内容科学合理、针对性、可行性强，完全有利于采购项目顺利实施，得5分； 内容较为合理、针对性、可行性较强，有利于采购项目顺利实施，得4分； 内容基本合理、针对性、可行性一般，得3分； 内容针对性、可行性差，得2分； 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技术（服务）方案说明书</w:t>
            </w:r>
          </w:p>
          <w:p>
            <w:pPr>
              <w:pStyle w:val="null3"/>
            </w:pPr>
            <w:r>
              <w:rPr>
                <w:rFonts w:ascii="仿宋_GB2312" w:hAnsi="仿宋_GB2312" w:cs="仿宋_GB2312" w:eastAsia="仿宋_GB2312"/>
              </w:rPr>
              <w:t>其它资料</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供应商2022年1月至今类似项目业绩；每提供1份计1分，最高得3分。 业绩证明（以合同或中标/成交通知书为准，须在磋商响应文件中附以上证明材料的扫描件加盖单位公章）</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技术（服务）方案说明书</w:t>
            </w:r>
          </w:p>
          <w:p>
            <w:pPr>
              <w:pStyle w:val="null3"/>
            </w:pPr>
            <w:r>
              <w:rPr>
                <w:rFonts w:ascii="仿宋_GB2312" w:hAnsi="仿宋_GB2312" w:cs="仿宋_GB2312" w:eastAsia="仿宋_GB2312"/>
              </w:rPr>
              <w:t>其它资料</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价格分采用低价优先法计算，即满足磋商文件要求且磋商报价（管理费费率）最低的供应商的价格为磋商基准价，其价格分为满分。 其他供应商的价格分统一按照下列公式计算：磋商报价得分=磋商基准价/磋商报价*100%*10。 价格分计算：四舍五入，保留两位小数。 注：管理费费率不得高于人员应发工资的12%，超过12%按无效标处理。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详见附件：供应商承诺书</w:t>
      </w:r>
    </w:p>
    <w:p>
      <w:pPr>
        <w:pStyle w:val="null3"/>
        <w:ind w:firstLine="960"/>
      </w:pPr>
      <w:r>
        <w:rPr>
          <w:rFonts w:ascii="仿宋_GB2312" w:hAnsi="仿宋_GB2312" w:cs="仿宋_GB2312" w:eastAsia="仿宋_GB2312"/>
        </w:rPr>
        <w:t>详见附件：资格证明材料</w:t>
      </w:r>
    </w:p>
    <w:p>
      <w:pPr>
        <w:pStyle w:val="null3"/>
        <w:ind w:firstLine="960"/>
      </w:pPr>
      <w:r>
        <w:rPr>
          <w:rFonts w:ascii="仿宋_GB2312" w:hAnsi="仿宋_GB2312" w:cs="仿宋_GB2312" w:eastAsia="仿宋_GB2312"/>
        </w:rPr>
        <w:t>详见附件：技术（服务）方案说明书</w:t>
      </w:r>
    </w:p>
    <w:p>
      <w:pPr>
        <w:pStyle w:val="null3"/>
        <w:ind w:firstLine="960"/>
      </w:pPr>
      <w:r>
        <w:rPr>
          <w:rFonts w:ascii="仿宋_GB2312" w:hAnsi="仿宋_GB2312" w:cs="仿宋_GB2312" w:eastAsia="仿宋_GB2312"/>
        </w:rPr>
        <w:t>详见附件：商务响应偏离表</w:t>
      </w:r>
    </w:p>
    <w:p>
      <w:pPr>
        <w:pStyle w:val="null3"/>
        <w:ind w:firstLine="960"/>
      </w:pPr>
      <w:r>
        <w:rPr>
          <w:rFonts w:ascii="仿宋_GB2312" w:hAnsi="仿宋_GB2312" w:cs="仿宋_GB2312" w:eastAsia="仿宋_GB2312"/>
        </w:rPr>
        <w:t>详见附件：合同条款响应偏离表</w:t>
      </w:r>
    </w:p>
    <w:p>
      <w:pPr>
        <w:pStyle w:val="null3"/>
        <w:ind w:firstLine="960"/>
      </w:pPr>
      <w:r>
        <w:rPr>
          <w:rFonts w:ascii="仿宋_GB2312" w:hAnsi="仿宋_GB2312" w:cs="仿宋_GB2312" w:eastAsia="仿宋_GB2312"/>
        </w:rPr>
        <w:t>详见附件：其它资料</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