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版本号：ZJZC2025061001-120250613001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雁塔文物会说话文化惠民活动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ZJZC2025061001-1</w:t>
      </w:r>
      <w:r>
        <w:br/>
      </w:r>
      <w:r>
        <w:br/>
      </w:r>
      <w:r>
        <w:br/>
      </w:r>
    </w:p>
    <w:p>
      <w:pPr>
        <w:pStyle w:val="null3"/>
        <w:jc w:val="center"/>
        <w:outlineLvl w:val="2"/>
      </w:pPr>
      <w:r>
        <w:rPr>
          <w:rFonts w:ascii="仿宋_GB2312" w:hAnsi="仿宋_GB2312" w:cs="仿宋_GB2312" w:eastAsia="仿宋_GB2312"/>
          <w:sz w:val="28"/>
          <w:b/>
        </w:rPr>
        <w:t>西安市雁塔区文化和旅游体育局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西安市雁塔区文化和旅游体育局</w:t>
      </w:r>
      <w:r>
        <w:rPr>
          <w:rFonts w:ascii="仿宋_GB2312" w:hAnsi="仿宋_GB2312" w:cs="仿宋_GB2312" w:eastAsia="仿宋_GB2312"/>
        </w:rPr>
        <w:t>委托，拟对</w:t>
      </w:r>
      <w:r>
        <w:rPr>
          <w:rFonts w:ascii="仿宋_GB2312" w:hAnsi="仿宋_GB2312" w:cs="仿宋_GB2312" w:eastAsia="仿宋_GB2312"/>
        </w:rPr>
        <w:t>雁塔文物会说话文化惠民活动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ZJZC2025061001-1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雁塔文物会说话文化惠民活动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文物会说话文化惠民活动项目。以“文物会说话”这一独特主题为引领，借助移动展览、艺术体验、文化讲座等多种形式，成功地将博物馆的珍贵资源延伸至群众日常的生活场景之中，全力打造出真正意义上的“家门口的博物馆”，进而有力地推动传统文化深度融入到百姓的日常生活当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采购包1（雁塔文物会说话文化惠民活动）：属于专门面向中小企业采购。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2、财务状况报告：提供2023年度或2024年度经审计的财务会计报告（成立时间至递交响应文件截止时间不足一年的可提供成立后任意时段的资产负债表）； 或其递交响应文件截止之日前三个月内基本开户银行出具的资信证明（附《基本存款账户信息》或《银行开户许可证》复印件）。</w:t>
      </w:r>
    </w:p>
    <w:p>
      <w:pPr>
        <w:pStyle w:val="null3"/>
      </w:pPr>
      <w:r>
        <w:rPr>
          <w:rFonts w:ascii="仿宋_GB2312" w:hAnsi="仿宋_GB2312" w:cs="仿宋_GB2312" w:eastAsia="仿宋_GB2312"/>
        </w:rPr>
        <w:t>3、税收缴纳证明：提供递交响应文件截止时间前半年内任意一个月的纳税证明或完税证明，依法免税的单位应提供相关证明材料。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4、社会保障资金缴纳证明：提供递交响应文件截止时间前半年内任意一个月的社会保障资金缴存单据或社保机构开具的社会保险参保缴费情况证明，依法不需要缴纳社会保障资金的单位应提供相关证明材料。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8、联合体：本项目不接受联合体响应。</w:t>
      </w:r>
    </w:p>
    <w:p>
      <w:pPr>
        <w:pStyle w:val="null3"/>
      </w:pPr>
      <w:r>
        <w:rPr>
          <w:rFonts w:ascii="仿宋_GB2312" w:hAnsi="仿宋_GB2312" w:cs="仿宋_GB2312" w:eastAsia="仿宋_GB2312"/>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严飞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029-85397617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西安市雁塔区高新路2号西部国际广场B座28楼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于晓风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15787880042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计划委员会计价格[2002]1980号文件及国家发展和改革委员会办公厅颁发的《关于降低部分建设项目收费标准规范收费行为等有关问题的通知》（发改价格[2011]534号）的规定服务类标准，不足捌仟元按照人民币捌仟元收取。 2、代理服务费缴纳账户信息： 银行户名：中建华阳建设项目管理有限责任公司 银行：陕西秦农农村商业银行股份有限公司新城支行 账 号：2701131601201000034855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西安市雁塔区文化和旅游体育局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西安市雁塔区文化和旅游体育局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服务内容达到合同文本，磋商文件，磋商响应文件，国内相应标准、规范。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联系人：于晓风</w:t>
      </w:r>
    </w:p>
    <w:p>
      <w:pPr>
        <w:pStyle w:val="null3"/>
      </w:pPr>
      <w:r>
        <w:rPr>
          <w:rFonts w:ascii="仿宋_GB2312" w:hAnsi="仿宋_GB2312" w:cs="仿宋_GB2312" w:eastAsia="仿宋_GB2312"/>
        </w:rPr>
        <w:t>联系电话：15787880042</w:t>
      </w:r>
    </w:p>
    <w:p>
      <w:pPr>
        <w:pStyle w:val="null3"/>
      </w:pPr>
      <w:r>
        <w:rPr>
          <w:rFonts w:ascii="仿宋_GB2312" w:hAnsi="仿宋_GB2312" w:cs="仿宋_GB2312" w:eastAsia="仿宋_GB2312"/>
        </w:rPr>
        <w:t>地址：西安市雁塔区高新路2号西部国际广场B座28楼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文物会说话文化惠民活动项目。以“文物会说话”这一独特主题为引领，借助移动展览、艺术体验、文化讲座等多种形式，成功地将博物馆的珍贵资源延伸至群众日常的生活场景之中，全力打造出真正意义上的“家门口的博物馆”，进而有力地推动传统文化深度融入到百姓的日常生活当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雁塔文物会说话文化惠民活动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标的名称：雁塔文物会说话文化惠民活动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b/>
              </w:rPr>
              <w:t>一</w:t>
            </w:r>
            <w:r>
              <w:rPr>
                <w:rFonts w:ascii="仿宋_GB2312" w:hAnsi="仿宋_GB2312" w:cs="仿宋_GB2312" w:eastAsia="仿宋_GB2312"/>
                <w:b/>
              </w:rPr>
              <w:t>、服务内容</w:t>
            </w:r>
          </w:p>
          <w:p>
            <w:pPr>
              <w:pStyle w:val="null3"/>
              <w:ind w:firstLine="482"/>
            </w:pPr>
            <w:r>
              <w:rPr>
                <w:rFonts w:ascii="仿宋_GB2312" w:hAnsi="仿宋_GB2312" w:cs="仿宋_GB2312" w:eastAsia="仿宋_GB2312"/>
              </w:rPr>
              <w:t>（一）移动展厅巡回展</w:t>
            </w:r>
            <w:r>
              <w:rPr>
                <w:rFonts w:ascii="仿宋_GB2312" w:hAnsi="仿宋_GB2312" w:cs="仿宋_GB2312" w:eastAsia="仿宋_GB2312"/>
              </w:rPr>
              <w:t>——“家门口的博物馆”</w:t>
            </w:r>
          </w:p>
          <w:p>
            <w:pPr>
              <w:pStyle w:val="null3"/>
              <w:ind w:firstLine="482"/>
            </w:pPr>
            <w:r>
              <w:rPr>
                <w:rFonts w:ascii="仿宋_GB2312" w:hAnsi="仿宋_GB2312" w:cs="仿宋_GB2312" w:eastAsia="仿宋_GB2312"/>
              </w:rPr>
              <w:t xml:space="preserve">    </w:t>
            </w:r>
            <w:r>
              <w:rPr>
                <w:rFonts w:ascii="仿宋_GB2312" w:hAnsi="仿宋_GB2312" w:cs="仿宋_GB2312" w:eastAsia="仿宋_GB2312"/>
              </w:rPr>
              <w:t>在公园（如雁塔文化广场、青龙寺遗址公园等）、商场（如</w:t>
            </w:r>
            <w:r>
              <w:rPr>
                <w:rFonts w:ascii="仿宋_GB2312" w:hAnsi="仿宋_GB2312" w:cs="仿宋_GB2312" w:eastAsia="仿宋_GB2312"/>
              </w:rPr>
              <w:t>M3碧乐城、乐荟中心等）、地铁口（如电视塔站、大雁塔站等）等人流密集且具有代表性的区域，精心设置移动展厅。采用多样化的展示手段，包括文物藏品展柜、展架展板、文物故事音频播放以及大屏幕动态展示等，以丰富群众的视觉和听觉体验。</w:t>
            </w:r>
          </w:p>
          <w:p>
            <w:pPr>
              <w:pStyle w:val="null3"/>
              <w:ind w:firstLine="482"/>
            </w:pPr>
            <w:r>
              <w:rPr>
                <w:rFonts w:ascii="仿宋_GB2312" w:hAnsi="仿宋_GB2312" w:cs="仿宋_GB2312" w:eastAsia="仿宋_GB2312"/>
              </w:rPr>
              <w:t>（二）综合性艺术展览</w:t>
            </w:r>
            <w:r>
              <w:rPr>
                <w:rFonts w:ascii="仿宋_GB2312" w:hAnsi="仿宋_GB2312" w:cs="仿宋_GB2312" w:eastAsia="仿宋_GB2312"/>
              </w:rPr>
              <w:t>——“艺术零距离”</w:t>
            </w:r>
          </w:p>
          <w:p>
            <w:pPr>
              <w:pStyle w:val="null3"/>
              <w:ind w:firstLine="482"/>
            </w:pPr>
            <w:r>
              <w:rPr>
                <w:rFonts w:ascii="仿宋_GB2312" w:hAnsi="仿宋_GB2312" w:cs="仿宋_GB2312" w:eastAsia="仿宋_GB2312"/>
              </w:rPr>
              <w:t xml:space="preserve">    </w:t>
            </w:r>
            <w:r>
              <w:rPr>
                <w:rFonts w:ascii="仿宋_GB2312" w:hAnsi="仿宋_GB2312" w:cs="仿宋_GB2312" w:eastAsia="仿宋_GB2312"/>
              </w:rPr>
              <w:t>积极联合辖区内的博物馆以及非遗工坊，精心巡回展出书法、绘画、摄影等各类艺术作品。特别设置</w:t>
            </w:r>
            <w:r>
              <w:rPr>
                <w:rFonts w:ascii="仿宋_GB2312" w:hAnsi="仿宋_GB2312" w:cs="仿宋_GB2312" w:eastAsia="仿宋_GB2312"/>
              </w:rPr>
              <w:t>“非遗体验角”，诚挚邀请秦腔脸谱、剪纸、泥塑、手工制香、火笔烫画等非遗项目的传承人亲临现场，进行精彩的演示，并热情指导群众亲身参与互动，让群众在亲身体验中感受传统文化的博大精深。</w:t>
            </w:r>
          </w:p>
          <w:p>
            <w:pPr>
              <w:pStyle w:val="null3"/>
              <w:ind w:firstLine="482"/>
            </w:pPr>
            <w:r>
              <w:rPr>
                <w:rFonts w:ascii="仿宋_GB2312" w:hAnsi="仿宋_GB2312" w:cs="仿宋_GB2312" w:eastAsia="仿宋_GB2312"/>
              </w:rPr>
              <w:t>（三）文化讲座</w:t>
            </w:r>
            <w:r>
              <w:rPr>
                <w:rFonts w:ascii="仿宋_GB2312" w:hAnsi="仿宋_GB2312" w:cs="仿宋_GB2312" w:eastAsia="仿宋_GB2312"/>
              </w:rPr>
              <w:t>——“名家面对面”</w:t>
            </w:r>
          </w:p>
          <w:p>
            <w:pPr>
              <w:pStyle w:val="null3"/>
              <w:ind w:firstLine="482"/>
            </w:pPr>
            <w:r>
              <w:rPr>
                <w:rFonts w:ascii="仿宋_GB2312" w:hAnsi="仿宋_GB2312" w:cs="仿宋_GB2312" w:eastAsia="仿宋_GB2312"/>
              </w:rPr>
              <w:t xml:space="preserve">    </w:t>
            </w:r>
            <w:r>
              <w:rPr>
                <w:rFonts w:ascii="仿宋_GB2312" w:hAnsi="仿宋_GB2312" w:cs="仿宋_GB2312" w:eastAsia="仿宋_GB2312"/>
              </w:rPr>
              <w:t>精心邀请历史学者、科学家、非遗传承人等组成专业的讲师团。采用</w:t>
            </w:r>
            <w:r>
              <w:rPr>
                <w:rFonts w:ascii="仿宋_GB2312" w:hAnsi="仿宋_GB2312" w:cs="仿宋_GB2312" w:eastAsia="仿宋_GB2312"/>
              </w:rPr>
              <w:t>“讲座 + 问答 + 实践”的创新模式，将不同领域的知识与实践相结合，例如历史讲座搭配文物制作技艺的现场体验，科学讲座配套矿物标本的观察，非遗讲座结合制作互动等，让群众在聆听讲座的同时，能够亲身体验和感受文化的魅力。</w:t>
            </w:r>
          </w:p>
          <w:p>
            <w:pPr>
              <w:pStyle w:val="null3"/>
              <w:ind w:firstLine="482"/>
            </w:pPr>
            <w:r>
              <w:rPr>
                <w:rFonts w:ascii="仿宋_GB2312" w:hAnsi="仿宋_GB2312" w:cs="仿宋_GB2312" w:eastAsia="仿宋_GB2312"/>
                <w:b/>
              </w:rPr>
              <w:t>二</w:t>
            </w:r>
            <w:r>
              <w:rPr>
                <w:rFonts w:ascii="仿宋_GB2312" w:hAnsi="仿宋_GB2312" w:cs="仿宋_GB2312" w:eastAsia="仿宋_GB2312"/>
                <w:b/>
              </w:rPr>
              <w:t>、服务要求</w:t>
            </w:r>
          </w:p>
          <w:p>
            <w:pPr>
              <w:pStyle w:val="null3"/>
              <w:ind w:firstLine="482"/>
            </w:pPr>
            <w:r>
              <w:rPr>
                <w:rFonts w:ascii="仿宋_GB2312" w:hAnsi="仿宋_GB2312" w:cs="仿宋_GB2312" w:eastAsia="仿宋_GB2312"/>
              </w:rPr>
              <w:t>（一）移动展厅巡回展</w:t>
            </w:r>
            <w:r>
              <w:rPr>
                <w:rFonts w:ascii="仿宋_GB2312" w:hAnsi="仿宋_GB2312" w:cs="仿宋_GB2312" w:eastAsia="仿宋_GB2312"/>
              </w:rPr>
              <w:t>——“家门口的博物馆”</w:t>
            </w:r>
          </w:p>
          <w:p>
            <w:pPr>
              <w:pStyle w:val="null3"/>
              <w:ind w:firstLine="482"/>
            </w:pPr>
            <w:r>
              <w:rPr>
                <w:rFonts w:ascii="仿宋_GB2312" w:hAnsi="仿宋_GB2312" w:cs="仿宋_GB2312" w:eastAsia="仿宋_GB2312"/>
              </w:rPr>
              <w:t>每月固定至少安排</w:t>
            </w:r>
            <w:r>
              <w:rPr>
                <w:rFonts w:ascii="仿宋_GB2312" w:hAnsi="仿宋_GB2312" w:cs="仿宋_GB2312" w:eastAsia="仿宋_GB2312"/>
              </w:rPr>
              <w:t>1-2场移动展厅巡回展，每场展览周期为15天，全年共计开展12场巡回展出活动，确保群众能够在不同的时间和地点欣赏到丰富多彩的文物展览。每场展览精心挑选2-3家博物馆的藏品进行主题联展，如西安美院美术博物馆的艺术作品与陕西自然博物馆的动植物标本等，营造出多元的文化氛围。</w:t>
            </w:r>
          </w:p>
          <w:p>
            <w:pPr>
              <w:pStyle w:val="null3"/>
              <w:ind w:firstLine="482"/>
            </w:pPr>
            <w:r>
              <w:rPr>
                <w:rFonts w:ascii="仿宋_GB2312" w:hAnsi="仿宋_GB2312" w:cs="仿宋_GB2312" w:eastAsia="仿宋_GB2312"/>
              </w:rPr>
              <w:t>设置临时展厅举办展览不少于五个地铁站，各展厅合计总面积不低于</w:t>
            </w:r>
            <w:r>
              <w:rPr>
                <w:rFonts w:ascii="仿宋_GB2312" w:hAnsi="仿宋_GB2312" w:cs="仿宋_GB2312" w:eastAsia="仿宋_GB2312"/>
              </w:rPr>
              <w:t>300㎡；并设有灯箱广告和立柱广告不少于10处；地铁全线电视播放时间不低于15天。</w:t>
            </w:r>
          </w:p>
          <w:p>
            <w:pPr>
              <w:pStyle w:val="null3"/>
              <w:ind w:firstLine="482"/>
            </w:pPr>
            <w:r>
              <w:rPr>
                <w:rFonts w:ascii="仿宋_GB2312" w:hAnsi="仿宋_GB2312" w:cs="仿宋_GB2312" w:eastAsia="仿宋_GB2312"/>
              </w:rPr>
              <w:t>（二）综合性艺术展览</w:t>
            </w:r>
            <w:r>
              <w:rPr>
                <w:rFonts w:ascii="仿宋_GB2312" w:hAnsi="仿宋_GB2312" w:cs="仿宋_GB2312" w:eastAsia="仿宋_GB2312"/>
              </w:rPr>
              <w:t>——“艺术零距离”</w:t>
            </w:r>
          </w:p>
          <w:p>
            <w:pPr>
              <w:pStyle w:val="null3"/>
              <w:ind w:firstLine="482"/>
            </w:pPr>
            <w:r>
              <w:rPr>
                <w:rFonts w:ascii="仿宋_GB2312" w:hAnsi="仿宋_GB2312" w:cs="仿宋_GB2312" w:eastAsia="仿宋_GB2312"/>
              </w:rPr>
              <w:t xml:space="preserve">    </w:t>
            </w:r>
            <w:r>
              <w:rPr>
                <w:rFonts w:ascii="仿宋_GB2312" w:hAnsi="仿宋_GB2312" w:cs="仿宋_GB2312" w:eastAsia="仿宋_GB2312"/>
              </w:rPr>
              <w:t>每月定期至少举办</w:t>
            </w:r>
            <w:r>
              <w:rPr>
                <w:rFonts w:ascii="仿宋_GB2312" w:hAnsi="仿宋_GB2312" w:cs="仿宋_GB2312" w:eastAsia="仿宋_GB2312"/>
              </w:rPr>
              <w:t>1-2场综合性艺术展览，每场展览覆盖一个社区或公共场所，全年共开展12场，使传统文化能够广泛地渗透到群众的生活中。举办专题展览，如主题影像展，以独特的视角展现不同时期的历史风貌；电影工业展，让群众了解电影制作背后的文化与技术。同时，观众可以积极参与拓片制作、剪纸体验等丰富多样的非遗手工艺活动，深入体验传统文化的魅力。</w:t>
            </w:r>
          </w:p>
          <w:p>
            <w:pPr>
              <w:pStyle w:val="null3"/>
              <w:ind w:firstLine="482"/>
            </w:pPr>
            <w:r>
              <w:rPr>
                <w:rFonts w:ascii="仿宋_GB2312" w:hAnsi="仿宋_GB2312" w:cs="仿宋_GB2312" w:eastAsia="仿宋_GB2312"/>
              </w:rPr>
              <w:t>（三）文化讲座</w:t>
            </w:r>
            <w:r>
              <w:rPr>
                <w:rFonts w:ascii="仿宋_GB2312" w:hAnsi="仿宋_GB2312" w:cs="仿宋_GB2312" w:eastAsia="仿宋_GB2312"/>
              </w:rPr>
              <w:t>——“名家面对面”</w:t>
            </w:r>
          </w:p>
          <w:p>
            <w:pPr>
              <w:pStyle w:val="null3"/>
              <w:ind w:firstLine="482"/>
            </w:pPr>
            <w:r>
              <w:rPr>
                <w:rFonts w:ascii="仿宋_GB2312" w:hAnsi="仿宋_GB2312" w:cs="仿宋_GB2312" w:eastAsia="仿宋_GB2312"/>
              </w:rPr>
              <w:t>每月至少举办</w:t>
            </w:r>
            <w:r>
              <w:rPr>
                <w:rFonts w:ascii="仿宋_GB2312" w:hAnsi="仿宋_GB2312" w:cs="仿宋_GB2312" w:eastAsia="仿宋_GB2312"/>
              </w:rPr>
              <w:t>1-2场文化讲座，全年共计12场，覆盖6个街</w:t>
            </w:r>
            <w:r>
              <w:rPr>
                <w:rFonts w:ascii="仿宋_GB2312" w:hAnsi="仿宋_GB2312" w:cs="仿宋_GB2312" w:eastAsia="仿宋_GB2312"/>
              </w:rPr>
              <w:t>办、</w:t>
            </w:r>
            <w:r>
              <w:rPr>
                <w:rFonts w:ascii="仿宋_GB2312" w:hAnsi="仿宋_GB2312" w:cs="仿宋_GB2312" w:eastAsia="仿宋_GB2312"/>
                <w:b/>
              </w:rPr>
              <w:t>5所学校以及1处军营</w:t>
            </w:r>
            <w:r>
              <w:rPr>
                <w:rFonts w:ascii="仿宋_GB2312" w:hAnsi="仿宋_GB2312" w:cs="仿宋_GB2312" w:eastAsia="仿宋_GB2312"/>
                <w:b/>
              </w:rPr>
              <w:t>（</w:t>
            </w:r>
            <w:r>
              <w:rPr>
                <w:rFonts w:ascii="仿宋_GB2312" w:hAnsi="仿宋_GB2312" w:cs="仿宋_GB2312" w:eastAsia="仿宋_GB2312"/>
                <w:b/>
              </w:rPr>
              <w:t>注：采购人可提供学校及军营的协调工作</w:t>
            </w:r>
            <w:r>
              <w:rPr>
                <w:rFonts w:ascii="仿宋_GB2312" w:hAnsi="仿宋_GB2312" w:cs="仿宋_GB2312" w:eastAsia="仿宋_GB2312"/>
                <w:b/>
              </w:rPr>
              <w:t>）</w:t>
            </w:r>
            <w:r>
              <w:rPr>
                <w:rFonts w:ascii="仿宋_GB2312" w:hAnsi="仿宋_GB2312" w:cs="仿宋_GB2312" w:eastAsia="仿宋_GB2312"/>
              </w:rPr>
              <w:t>，让更多的群众有机会接触到高水平的文化讲座。根据不同的场所和受众群体，设</w:t>
            </w:r>
            <w:r>
              <w:rPr>
                <w:rFonts w:ascii="仿宋_GB2312" w:hAnsi="仿宋_GB2312" w:cs="仿宋_GB2312" w:eastAsia="仿宋_GB2312"/>
              </w:rPr>
              <w:t>计多样化的主题内容。在社区场，重点突出</w:t>
            </w:r>
            <w:r>
              <w:rPr>
                <w:rFonts w:ascii="仿宋_GB2312" w:hAnsi="仿宋_GB2312" w:cs="仿宋_GB2312" w:eastAsia="仿宋_GB2312"/>
              </w:rPr>
              <w:t>“雁塔文博分享”主题，将雁塔地区的文物文化与社区生活紧密结合；在学校场，精心设计“诗词中的雁塔”等深受青少年喜爱的兴趣主题，激发青少年对传统文化的兴趣；在军营场，推出“红色文物背后的英雄”专题，传承红色基因，弘扬革命精神。</w:t>
            </w:r>
          </w:p>
          <w:p>
            <w:pPr>
              <w:pStyle w:val="null3"/>
              <w:ind w:firstLine="482"/>
            </w:pPr>
            <w:r>
              <w:rPr>
                <w:rFonts w:ascii="仿宋_GB2312" w:hAnsi="仿宋_GB2312" w:cs="仿宋_GB2312" w:eastAsia="仿宋_GB2312"/>
              </w:rPr>
              <w:t>（四）其他要求</w:t>
            </w:r>
          </w:p>
          <w:p>
            <w:pPr>
              <w:pStyle w:val="null3"/>
              <w:ind w:firstLine="482"/>
            </w:pPr>
            <w:r>
              <w:rPr>
                <w:rFonts w:ascii="仿宋_GB2312" w:hAnsi="仿宋_GB2312" w:cs="仿宋_GB2312" w:eastAsia="仿宋_GB2312"/>
              </w:rPr>
              <w:t>1、2025年全年内办完活动场次一共不低于36场；</w:t>
            </w:r>
          </w:p>
          <w:p>
            <w:pPr>
              <w:pStyle w:val="null3"/>
              <w:ind w:firstLine="482"/>
            </w:pPr>
            <w:r>
              <w:rPr>
                <w:rFonts w:ascii="仿宋_GB2312" w:hAnsi="仿宋_GB2312" w:cs="仿宋_GB2312" w:eastAsia="仿宋_GB2312"/>
              </w:rPr>
              <w:t>2、参与展览的博物馆均须为在西安市文物局备案的博物馆；参与非遗体验的内容均为非遗传承人；参与讲座的专家，均须为高级职称以上或在专项领域获得过省级以上奖项；</w:t>
            </w:r>
          </w:p>
          <w:p>
            <w:pPr>
              <w:pStyle w:val="null3"/>
              <w:ind w:firstLine="482"/>
            </w:pPr>
            <w:r>
              <w:rPr>
                <w:rFonts w:ascii="仿宋_GB2312" w:hAnsi="仿宋_GB2312" w:cs="仿宋_GB2312" w:eastAsia="仿宋_GB2312"/>
              </w:rPr>
              <w:t>3、中、省、市媒体平台宣传，线上和线下活动曝光量不低于1亿次</w:t>
            </w: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2025年全年完成所有服务项目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1、现行的国家标准或国家行政部门颁布的法律法规、规章制度等，是项目验收的重要依据。没有国家标准的，可以参考行业标准。 2、按照磋商文件、磋商响应文件以及签订的服务合同进行验收。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违约责任与解决争议的方法：按《中华人民共和国政府采购法》、《中华人民共和国民法典》中的相关条款执行。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提供2023年度或2024年度经审计的财务会计报告（成立时间至递交响应文件截止时间不足一年的可提供成立后任意时段的资产负债表）； 或其递交响应文件截止之日前三个月内基本开户银行出具的资信证明（附《基本存款账户信息》或《银行开户许可证》复印件）。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报价表 响应文件封面 分项报价表.docx 供应商应提交的相关资格证明材料.docx 残疾人福利性单位声明函 拒绝政府采购领域商业贿赂承诺书.docx 标的清单 服务要求响应偏离表.docx 商务要求响应偏离表.docx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报价表 响应文件封面 分项报价表.docx 供应商应提交的相关资格证明材料.docx 残疾人福利性单位声明函 拒绝政府采购领域商业贿赂承诺书.docx 标的清单 服务要求响应偏离表.docx 商务要求响应偏离表.docx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服务需求分析及目标设置</w:t>
            </w:r>
          </w:p>
        </w:tc>
        <w:tc>
          <w:tcPr>
            <w:tcW w:type="dxa" w:w="2492"/>
          </w:tcPr>
          <w:p>
            <w:pPr>
              <w:pStyle w:val="null3"/>
            </w:pPr>
            <w:r>
              <w:rPr>
                <w:rFonts w:ascii="仿宋_GB2312" w:hAnsi="仿宋_GB2312" w:cs="仿宋_GB2312" w:eastAsia="仿宋_GB2312"/>
              </w:rPr>
              <w:t>一、评审内容 根据供应商对本项目关键问题及重难点分析，并提出有针对性的应对措施情况进行评定，内容包含①服务区域现状分析②服务区域服务重点难点分析及应对措施③项目的目标设置。 二、评审标准 1、完整性：方案必须全面，对评审内容中的各项要求有详细描述； 2、可实施性：切合本项目实际情况，提出步骤清晰、合理的方案； 3、针对性：方案能够紧扣项目实际情况，内容科学合理。 三、赋分标准（满分9分）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供应商对项目的实施方案，内容包含①项目总体方案安排②文化讲座方案③移动展厅巡回展方案④综合性艺术展览方案⑤活动宣发方案进行综合评审。 二、评审标准 1、完整性：方案必须全面，对评审内容中的各项要求有详细描述； 2、可实施性：切合本项目实际情况，提出步骤清晰、合理的方案； 三、赋分标准（满分20分） 每个评审项满分4分，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一、评审内容 供应商针对本项目提供进度计划保障措施，内容包含：①项目进度安排②任务推进保障措施。 二、评审标准 1、计划性：计划必须全面，对评审内容中的各项工作均有详细安排； 2、针对性：计划能够紧扣项目实际情况，内容科学合理，并预留出突发情况响应时间。 三、赋分标准（满分8分） 每个评审项满分4分，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资源管理</w:t>
            </w:r>
          </w:p>
        </w:tc>
        <w:tc>
          <w:tcPr>
            <w:tcW w:type="dxa" w:w="2492"/>
          </w:tcPr>
          <w:p>
            <w:pPr>
              <w:pStyle w:val="null3"/>
            </w:pPr>
            <w:r>
              <w:rPr>
                <w:rFonts w:ascii="仿宋_GB2312" w:hAnsi="仿宋_GB2312" w:cs="仿宋_GB2312" w:eastAsia="仿宋_GB2312"/>
              </w:rPr>
              <w:t>一、评审内容 供应商提供针对本项目的资源管理，内容包含①完成项目所必需的人财物等资源配置说明②为本项目拓展相关资源的方案和能力说明进行综合评审。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一、评审内容 供应商的质量保证方案，内容包括但不限于①质量管理体系②质量保障措施③服务承诺。 二、评审标准 1、完整性：方案必须全面，对评审内容中的各项要求有详细描述； 2、可实施性：切合本项目实际情况，提出步骤清晰、合理的方案； 3、针对性：方案能够紧扣项目实际情况，内容科学合理。 三、赋分标准（满分9分）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突发事件及安全保障方案</w:t>
            </w:r>
          </w:p>
        </w:tc>
        <w:tc>
          <w:tcPr>
            <w:tcW w:type="dxa" w:w="2492"/>
          </w:tcPr>
          <w:p>
            <w:pPr>
              <w:pStyle w:val="null3"/>
            </w:pPr>
            <w:r>
              <w:rPr>
                <w:rFonts w:ascii="仿宋_GB2312" w:hAnsi="仿宋_GB2312" w:cs="仿宋_GB2312" w:eastAsia="仿宋_GB2312"/>
              </w:rPr>
              <w:t>一、评审内容 针对本项目的突发事件及安全保障方案，内容包含但不限于①应急预案②应急保障措施③安全预案④安全保障措施。 二、评审标准 1、完整性：方案必须全面，对评审内容中的各项要求有详细描述； 2、可实施性：切合本项目实际情况，提出步骤清晰、合理的方案； 3、针对性：方案能够紧扣项目实际情况，内容科学合理。 三、赋分标准（满分12分）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根据项目服务需求，提供能满足需求的专业人员及人员分工方案（包括但不限于活动策划人员、布置人员、活动管理人员等）。（1）人员与工作分工安排详细主观完整完全满足服务需求，得10分； （2）人员与工作分 工安排较详细，基本满足服务需求，得7分； （3）人员与工作分工安排不清晰，无法满足服务需求，得3分；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完成本项目的承诺</w:t>
            </w:r>
          </w:p>
        </w:tc>
        <w:tc>
          <w:tcPr>
            <w:tcW w:type="dxa" w:w="2492"/>
          </w:tcPr>
          <w:p>
            <w:pPr>
              <w:pStyle w:val="null3"/>
            </w:pPr>
            <w:r>
              <w:rPr>
                <w:rFonts w:ascii="仿宋_GB2312" w:hAnsi="仿宋_GB2312" w:cs="仿宋_GB2312" w:eastAsia="仿宋_GB2312"/>
              </w:rPr>
              <w:t>投标人能够充分调动和有效利用针对本项目的资源，能够充分与采购单位和其他有关机构协同工作，从而提出有效可行的能保障完成本项目的承诺方案。 （1）项目承诺细致合理、针对性强得 4分； （2）项目承诺较合理、有一定的针对性得2 分； （3）项目承诺较差，针对性较差得 1 分； （4）项目承诺未提供得0分。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供应商针对对本项目工作提出合理化建议。 （1）合理化建议具体、可行，完全满足本项目需求的得3分； （2）合理化建议与实际项目采购需求不贴合，不实际得1分， （3）未提供得0分。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供应商提供2022年1月至今类似项目业绩合同（以合同签订时间为准）；一个业绩得3分，最高得9分； 评审依据：提供合同复印件并加盖公章。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详见附件：服务要求响应偏离表.docx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