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1969A">
      <w:pPr>
        <w:spacing w:before="312"/>
        <w:ind w:firstLine="723"/>
        <w:jc w:val="center"/>
        <w:rPr>
          <w:color w:val="000000" w:themeColor="text1"/>
          <w:highlight w:val="none"/>
          <w14:textFill>
            <w14:solidFill>
              <w14:schemeClr w14:val="tx1"/>
            </w14:solidFill>
          </w14:textFill>
        </w:rPr>
      </w:pPr>
      <w:r>
        <w:rPr>
          <w:rFonts w:hint="eastAsia" w:asciiTheme="minorHAnsi" w:hAnsiTheme="minorHAnsi" w:eastAsiaTheme="minorEastAsia" w:cstheme="minorBidi"/>
          <w:b/>
          <w:color w:val="000000" w:themeColor="text1"/>
          <w:sz w:val="36"/>
          <w:szCs w:val="36"/>
          <w:highlight w:val="none"/>
          <w14:textFill>
            <w14:solidFill>
              <w14:schemeClr w14:val="tx1"/>
            </w14:solidFill>
          </w14:textFill>
        </w:rPr>
        <w:t xml:space="preserve"> 拟签订采购合同文本</w:t>
      </w:r>
    </w:p>
    <w:p w14:paraId="42744CF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 xml:space="preserve">合同编号： </w:t>
      </w:r>
    </w:p>
    <w:p w14:paraId="5617638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 xml:space="preserve">签订地点： </w:t>
      </w:r>
    </w:p>
    <w:p w14:paraId="1B7C3D4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签订时间：</w:t>
      </w:r>
    </w:p>
    <w:p w14:paraId="3F563566">
      <w:pPr>
        <w:pStyle w:val="5"/>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本合同是否为</w:t>
      </w:r>
      <w:r>
        <w:rPr>
          <w:rFonts w:hint="eastAsia"/>
          <w:color w:val="000000" w:themeColor="text1"/>
          <w:sz w:val="21"/>
          <w:szCs w:val="21"/>
          <w:highlight w:val="none"/>
          <w:lang w:val="en-US" w:eastAsia="zh-CN"/>
          <w14:textFill>
            <w14:solidFill>
              <w14:schemeClr w14:val="tx1"/>
            </w14:solidFill>
          </w14:textFill>
        </w:rPr>
        <w:t>中小/小微</w:t>
      </w:r>
      <w:r>
        <w:rPr>
          <w:rFonts w:hint="eastAsia"/>
          <w:color w:val="000000" w:themeColor="text1"/>
          <w:sz w:val="21"/>
          <w:szCs w:val="21"/>
          <w:highlight w:val="none"/>
          <w14:textFill>
            <w14:solidFill>
              <w14:schemeClr w14:val="tx1"/>
            </w14:solidFill>
          </w14:textFill>
        </w:rPr>
        <w:t>企</w:t>
      </w:r>
      <w:bookmarkStart w:id="1" w:name="_GoBack"/>
      <w:bookmarkEnd w:id="1"/>
      <w:r>
        <w:rPr>
          <w:rFonts w:hint="eastAsia"/>
          <w:color w:val="000000" w:themeColor="text1"/>
          <w:sz w:val="21"/>
          <w:szCs w:val="21"/>
          <w:highlight w:val="none"/>
          <w14:textFill>
            <w14:solidFill>
              <w14:schemeClr w14:val="tx1"/>
            </w14:solidFill>
          </w14:textFill>
        </w:rPr>
        <w:t>业预留份额合同：</w:t>
      </w:r>
    </w:p>
    <w:p w14:paraId="543304A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甲方（甲方）：</w:t>
      </w:r>
    </w:p>
    <w:p w14:paraId="33068F4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14:textFill>
            <w14:solidFill>
              <w14:schemeClr w14:val="tx1"/>
            </w14:solidFill>
          </w14:textFill>
        </w:rPr>
        <w:t>供应商（乙方）：</w:t>
      </w:r>
    </w:p>
    <w:p w14:paraId="33EEBA42">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Chars="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根据《中华人民共和国政府采购法》及实施条例、《中华人民共和国民法典》和甲方</w:t>
      </w:r>
      <w:r>
        <w:rPr>
          <w:rFonts w:hint="eastAsia" w:ascii="宋体" w:hAnsi="宋体"/>
          <w:color w:val="000000" w:themeColor="text1"/>
          <w:szCs w:val="21"/>
          <w:highlight w:val="none"/>
          <w:u w:val="single"/>
          <w14:textFill>
            <w14:solidFill>
              <w14:schemeClr w14:val="tx1"/>
            </w14:solidFill>
          </w14:textFill>
        </w:rPr>
        <w:t xml:space="preserve"> （项目名称） （项目编号</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文件、响应文件等有关规定，为确保甲方采购项目的顺利实施，甲、乙双方在平等自愿原则下签订本合同，并共同遵守如下条款：</w:t>
      </w:r>
      <w:bookmarkStart w:id="0" w:name="_Toc14987"/>
    </w:p>
    <w:bookmarkEnd w:id="0"/>
    <w:p w14:paraId="479327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b/>
          <w:color w:val="000000" w:themeColor="text1"/>
          <w:sz w:val="21"/>
          <w:szCs w:val="21"/>
          <w:highlight w:val="none"/>
          <w14:textFill>
            <w14:solidFill>
              <w14:schemeClr w14:val="tx1"/>
            </w14:solidFill>
          </w14:textFill>
        </w:rPr>
        <w:t>条</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14:textFill>
            <w14:solidFill>
              <w14:schemeClr w14:val="tx1"/>
            </w14:solidFill>
          </w14:textFill>
        </w:rPr>
        <w:t>项目概况</w:t>
      </w:r>
    </w:p>
    <w:p w14:paraId="3B826B7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乙方根据区域划分的责任范围，对吉祥村、罗家寨村、郝家村三个城中村道路两侧立面至立面之间区域的主干道、小巷、绿化带地面、小广场地面、环保设施、道路隔车带等区域进行清扫、清理、冲洗、垃圾收集和转运等保洁服务，配合并促进采购人完成提升城中村环境卫生治理目标；各项服务标准符合国家、省、市（行业）强制性标准及甲方</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要求。</w:t>
      </w:r>
    </w:p>
    <w:p w14:paraId="74B89973">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b/>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b/>
          <w:color w:val="000000" w:themeColor="text1"/>
          <w:sz w:val="21"/>
          <w:szCs w:val="21"/>
          <w:highlight w:val="none"/>
          <w14:textFill>
            <w14:solidFill>
              <w14:schemeClr w14:val="tx1"/>
            </w14:solidFill>
          </w14:textFill>
        </w:rPr>
        <w:t>条</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kern w:val="0"/>
          <w:sz w:val="21"/>
          <w:szCs w:val="21"/>
          <w:highlight w:val="none"/>
          <w:lang w:val="en-US" w:eastAsia="zh-CN" w:bidi="ar-SA"/>
          <w14:textFill>
            <w14:solidFill>
              <w14:schemeClr w14:val="tx1"/>
            </w14:solidFill>
          </w14:textFill>
        </w:rPr>
        <w:t>服务范围和内容</w:t>
      </w:r>
    </w:p>
    <w:p w14:paraId="3FD38EF3">
      <w:pPr>
        <w:keepNext w:val="0"/>
        <w:keepLines w:val="0"/>
        <w:pageBreakBefore w:val="0"/>
        <w:widowControl w:val="0"/>
        <w:kinsoku/>
        <w:wordWrap/>
        <w:overflowPunct/>
        <w:topLinePunct w:val="0"/>
        <w:autoSpaceDE/>
        <w:autoSpaceDN/>
        <w:bidi w:val="0"/>
        <w:adjustRightInd w:val="0"/>
        <w:snapToGrid w:val="0"/>
        <w:spacing w:line="348" w:lineRule="auto"/>
        <w:ind w:firstLine="415" w:firstLineChars="198"/>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服务范围</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9EC3A31">
      <w:pPr>
        <w:keepNext w:val="0"/>
        <w:keepLines w:val="0"/>
        <w:pageBreakBefore w:val="0"/>
        <w:widowControl w:val="0"/>
        <w:kinsoku/>
        <w:wordWrap/>
        <w:overflowPunct/>
        <w:topLinePunct w:val="0"/>
        <w:autoSpaceDE/>
        <w:autoSpaceDN/>
        <w:bidi w:val="0"/>
        <w:adjustRightInd w:val="0"/>
        <w:snapToGrid w:val="0"/>
        <w:spacing w:line="348" w:lineRule="auto"/>
        <w:ind w:firstLine="415" w:firstLineChars="198"/>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服务</w:t>
      </w:r>
      <w:r>
        <w:rPr>
          <w:rFonts w:hint="eastAsia" w:ascii="宋体" w:hAnsi="宋体" w:eastAsia="宋体" w:cs="宋体"/>
          <w:color w:val="000000" w:themeColor="text1"/>
          <w:sz w:val="21"/>
          <w:szCs w:val="21"/>
          <w:highlight w:val="none"/>
          <w14:textFill>
            <w14:solidFill>
              <w14:schemeClr w14:val="tx1"/>
            </w14:solidFill>
          </w14:textFill>
        </w:rPr>
        <w:t>内容：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374F2507">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b/>
          <w:color w:val="000000" w:themeColor="text1"/>
          <w:sz w:val="21"/>
          <w:szCs w:val="21"/>
          <w:highlight w:val="none"/>
          <w14:textFill>
            <w14:solidFill>
              <w14:schemeClr w14:val="tx1"/>
            </w14:solidFill>
          </w14:textFill>
        </w:rPr>
        <w:t>条</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服务期限</w:t>
      </w:r>
    </w:p>
    <w:p w14:paraId="63AE8159">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自</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日起至</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日止</w:t>
      </w:r>
    </w:p>
    <w:p w14:paraId="4C3F1B89">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四</w:t>
      </w:r>
      <w:r>
        <w:rPr>
          <w:rFonts w:hint="eastAsia" w:ascii="宋体" w:hAnsi="宋体" w:eastAsia="宋体" w:cs="宋体"/>
          <w:b/>
          <w:color w:val="000000" w:themeColor="text1"/>
          <w:sz w:val="21"/>
          <w:szCs w:val="21"/>
          <w:highlight w:val="none"/>
          <w14:textFill>
            <w14:solidFill>
              <w14:schemeClr w14:val="tx1"/>
            </w14:solidFill>
          </w14:textFill>
        </w:rPr>
        <w:t>条</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服务</w:t>
      </w:r>
      <w:r>
        <w:rPr>
          <w:rFonts w:hint="eastAsia" w:ascii="宋体" w:hAnsi="宋体" w:eastAsia="宋体" w:cs="宋体"/>
          <w:b/>
          <w:color w:val="000000" w:themeColor="text1"/>
          <w:kern w:val="0"/>
          <w:sz w:val="21"/>
          <w:szCs w:val="21"/>
          <w:highlight w:val="none"/>
          <w:lang w:val="en-US" w:eastAsia="zh-CN" w:bidi="ar-SA"/>
          <w14:textFill>
            <w14:solidFill>
              <w14:schemeClr w14:val="tx1"/>
            </w14:solidFill>
          </w14:textFill>
        </w:rPr>
        <w:t>要求</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与</w:t>
      </w:r>
      <w:r>
        <w:rPr>
          <w:rFonts w:hint="eastAsia" w:ascii="宋体" w:hAnsi="宋体" w:eastAsia="宋体" w:cs="宋体"/>
          <w:b/>
          <w:color w:val="000000" w:themeColor="text1"/>
          <w:kern w:val="0"/>
          <w:sz w:val="21"/>
          <w:szCs w:val="21"/>
          <w:highlight w:val="none"/>
          <w:lang w:val="en-US" w:eastAsia="zh-CN" w:bidi="ar-SA"/>
          <w14:textFill>
            <w14:solidFill>
              <w14:schemeClr w14:val="tx1"/>
            </w14:solidFill>
          </w14:textFill>
        </w:rPr>
        <w:t>准则</w:t>
      </w:r>
    </w:p>
    <w:p w14:paraId="7F78AFF4">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1、服务要求</w:t>
      </w:r>
      <w:r>
        <w:rPr>
          <w:rFonts w:hint="eastAsia" w:ascii="宋体" w:hAnsi="宋体" w:eastAsia="宋体" w:cs="宋体"/>
          <w:color w:val="000000" w:themeColor="text1"/>
          <w:sz w:val="21"/>
          <w:szCs w:val="21"/>
          <w:highlight w:val="none"/>
          <w:lang w:val="zh-CN"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lang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须指派专属人员与</w:t>
      </w:r>
      <w:r>
        <w:rPr>
          <w:rFonts w:hint="eastAsia" w:ascii="宋体" w:hAnsi="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联系服务事宜</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服务响应时间应根据</w:t>
      </w:r>
      <w:r>
        <w:rPr>
          <w:rFonts w:hint="eastAsia" w:ascii="宋体" w:hAnsi="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实际安排随时调整。</w:t>
      </w:r>
    </w:p>
    <w:p w14:paraId="72CDD97A">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需根据服务实际情况编制</w:t>
      </w:r>
      <w:r>
        <w:rPr>
          <w:rFonts w:hint="eastAsia" w:ascii="宋体" w:hAnsi="宋体" w:cs="宋体"/>
          <w:color w:val="000000" w:themeColor="text1"/>
          <w:sz w:val="21"/>
          <w:szCs w:val="21"/>
          <w:highlight w:val="none"/>
          <w:lang w:eastAsia="zh-CN"/>
          <w14:textFill>
            <w14:solidFill>
              <w14:schemeClr w14:val="tx1"/>
            </w14:solidFill>
          </w14:textFill>
        </w:rPr>
        <w:t>方</w:t>
      </w:r>
      <w:r>
        <w:rPr>
          <w:rFonts w:hint="eastAsia" w:ascii="宋体" w:hAnsi="宋体" w:eastAsia="宋体" w:cs="宋体"/>
          <w:color w:val="000000" w:themeColor="text1"/>
          <w:sz w:val="21"/>
          <w:szCs w:val="21"/>
          <w:highlight w:val="none"/>
          <w14:textFill>
            <w14:solidFill>
              <w14:schemeClr w14:val="tx1"/>
            </w14:solidFill>
          </w14:textFill>
        </w:rPr>
        <w:t>案，服务计划、服务进度安排等方案措施。</w:t>
      </w:r>
    </w:p>
    <w:p w14:paraId="49C60725">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在本项目人员要求有服务经验或持证上岗；服务队伍稳定，保证整个项目顺利完成，</w:t>
      </w:r>
      <w:r>
        <w:rPr>
          <w:rFonts w:hint="eastAsia" w:ascii="宋体" w:hAnsi="宋体" w:cs="宋体"/>
          <w:color w:val="000000" w:themeColor="text1"/>
          <w:sz w:val="21"/>
          <w:szCs w:val="21"/>
          <w:highlight w:val="none"/>
          <w:lang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未经</w:t>
      </w:r>
      <w:r>
        <w:rPr>
          <w:rFonts w:hint="eastAsia" w:ascii="宋体" w:hAnsi="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同意，不得擅自更换本项目在响应文件中指定的服务队伍。</w:t>
      </w:r>
    </w:p>
    <w:p w14:paraId="1BE108FA">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4）人工作业，包含道路（人行天桥）清扫、绿化带（绿化广场）清掏捡拾、果皮箱（垃圾桶）及灭烟柱清掏擦洗、野广告清理、道班房、保洁工具箱及休闲座椅等其他城市家具清洁；道路扫雪除冰；道路扬尘、极端天气等环境卫生应急整治。 </w:t>
      </w:r>
    </w:p>
    <w:p w14:paraId="16937AFD">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（5）机械作业，包含机扫、洗扫、吸尘和冲洒水等作业；道路保洁垃圾收运（含配合政府开展垃圾分类）工作；道路扫雪除冰；道路扬尘、极端天气等环境卫生应急整治。 </w:t>
      </w:r>
    </w:p>
    <w:p w14:paraId="1E55DC86">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6）城市家具管控维护，道班房、工具箱、护栏、通讯格栅等城市管理方面，属环境卫生管理责任范围内城市家具管控，除完成日常擦洗保洁外，定期进行清洗和管护巡查，如发现工具箱、护栏、通讯格栅等外观破损或门栅丢失，中标服务商应按要求及时修复完整，恢复其正常功能。 </w:t>
      </w:r>
    </w:p>
    <w:p w14:paraId="03CB73B9">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（7）重大节假日、大型活动及特殊天气应急保障，按照市城管局《西安市环卫保洁精细化作业指引》要求，</w:t>
      </w:r>
      <w:r>
        <w:rPr>
          <w:rFonts w:hint="eastAsia" w:ascii="宋体" w:hAnsi="宋体" w:cs="宋体"/>
          <w:color w:val="000000" w:themeColor="text1"/>
          <w:sz w:val="21"/>
          <w:szCs w:val="21"/>
          <w:highlight w:val="none"/>
          <w:lang w:eastAsia="zh-CN"/>
          <w14:textFill>
            <w14:solidFill>
              <w14:schemeClr w14:val="tx1"/>
            </w14:solidFill>
          </w14:textFill>
        </w:rPr>
        <w:t>乙方</w:t>
      </w:r>
      <w:r>
        <w:rPr>
          <w:rFonts w:hint="eastAsia" w:ascii="宋体" w:hAnsi="宋体" w:eastAsia="宋体" w:cs="宋体"/>
          <w:color w:val="000000" w:themeColor="text1"/>
          <w:sz w:val="21"/>
          <w:szCs w:val="21"/>
          <w:highlight w:val="none"/>
          <w:lang w:val="en-US" w:eastAsia="zh-CN"/>
          <w14:textFill>
            <w14:solidFill>
              <w14:schemeClr w14:val="tx1"/>
            </w14:solidFill>
          </w14:textFill>
        </w:rPr>
        <w:t>应组建不少于 10%的保洁应急队伍（含轮休人员），保持应急车辆及设备</w:t>
      </w:r>
      <w:r>
        <w:rPr>
          <w:rFonts w:hint="eastAsia" w:ascii="宋体" w:hAnsi="宋体" w:cs="宋体"/>
          <w:color w:val="000000" w:themeColor="text1"/>
          <w:sz w:val="21"/>
          <w:szCs w:val="21"/>
          <w:highlight w:val="none"/>
          <w:lang w:val="en-US" w:eastAsia="zh-CN"/>
          <w14:textFill>
            <w14:solidFill>
              <w14:schemeClr w14:val="tx1"/>
            </w14:solidFill>
          </w14:textFill>
        </w:rPr>
        <w:t>状</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况良好，以保证快速解决辖区范围内突发的市容环境卫生事件及保洁人员轮休。 </w:t>
      </w:r>
    </w:p>
    <w:p w14:paraId="69DE3B00">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8</w:t>
      </w:r>
      <w:r>
        <w:rPr>
          <w:rFonts w:hint="eastAsia" w:ascii="宋体" w:hAnsi="宋体" w:eastAsia="宋体" w:cs="宋体"/>
          <w:bCs/>
          <w:color w:val="000000" w:themeColor="text1"/>
          <w:sz w:val="21"/>
          <w:szCs w:val="21"/>
          <w:highlight w:val="none"/>
          <w:lang w:eastAsia="zh-CN"/>
          <w14:textFill>
            <w14:solidFill>
              <w14:schemeClr w14:val="tx1"/>
            </w14:solidFill>
          </w14:textFill>
        </w:rPr>
        <w:t>）服务过程中，严格遵守各种管理规定及规章制度，做到安全文明</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服务</w:t>
      </w:r>
      <w:r>
        <w:rPr>
          <w:rFonts w:hint="eastAsia" w:ascii="宋体" w:hAnsi="宋体" w:eastAsia="宋体" w:cs="宋体"/>
          <w:bCs/>
          <w:color w:val="000000" w:themeColor="text1"/>
          <w:sz w:val="21"/>
          <w:szCs w:val="21"/>
          <w:highlight w:val="none"/>
          <w:lang w:eastAsia="zh-CN"/>
          <w14:textFill>
            <w14:solidFill>
              <w14:schemeClr w14:val="tx1"/>
            </w14:solidFill>
          </w14:textFill>
        </w:rPr>
        <w:t>；如发生工伤及意外事故由</w:t>
      </w:r>
      <w:r>
        <w:rPr>
          <w:rFonts w:hint="eastAsia" w:ascii="宋体" w:hAnsi="宋体" w:cs="宋体"/>
          <w:bCs/>
          <w:color w:val="000000" w:themeColor="text1"/>
          <w:sz w:val="21"/>
          <w:szCs w:val="21"/>
          <w:highlight w:val="none"/>
          <w:lang w:eastAsia="zh-CN"/>
          <w14:textFill>
            <w14:solidFill>
              <w14:schemeClr w14:val="tx1"/>
            </w14:solidFill>
          </w14:textFill>
        </w:rPr>
        <w:t>乙方</w:t>
      </w:r>
      <w:r>
        <w:rPr>
          <w:rFonts w:hint="eastAsia" w:ascii="宋体" w:hAnsi="宋体" w:eastAsia="宋体" w:cs="宋体"/>
          <w:bCs/>
          <w:color w:val="000000" w:themeColor="text1"/>
          <w:sz w:val="21"/>
          <w:szCs w:val="21"/>
          <w:highlight w:val="none"/>
          <w:lang w:eastAsia="zh-CN"/>
          <w14:textFill>
            <w14:solidFill>
              <w14:schemeClr w14:val="tx1"/>
            </w14:solidFill>
          </w14:textFill>
        </w:rPr>
        <w:t>单位负责；</w:t>
      </w:r>
    </w:p>
    <w:p w14:paraId="15CC7BBB">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）严格按照国家、陕西省</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西安市</w:t>
      </w:r>
      <w:r>
        <w:rPr>
          <w:rFonts w:hint="eastAsia" w:ascii="宋体" w:hAnsi="宋体" w:eastAsia="宋体" w:cs="宋体"/>
          <w:color w:val="000000" w:themeColor="text1"/>
          <w:sz w:val="21"/>
          <w:szCs w:val="21"/>
          <w:highlight w:val="none"/>
          <w14:textFill>
            <w14:solidFill>
              <w14:schemeClr w14:val="tx1"/>
            </w14:solidFill>
          </w14:textFill>
        </w:rPr>
        <w:t>有关规定及</w:t>
      </w:r>
      <w:r>
        <w:rPr>
          <w:rFonts w:hint="eastAsia" w:ascii="宋体" w:hAnsi="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要求进行服务，不得随意更改或者变换服务内容，每项服务内容实施前应事先取得</w:t>
      </w:r>
      <w:r>
        <w:rPr>
          <w:rFonts w:hint="eastAsia" w:ascii="宋体" w:hAnsi="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的落实后方可实施。</w:t>
      </w:r>
    </w:p>
    <w:p w14:paraId="28CE3481">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10</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cs="宋体"/>
          <w:bCs/>
          <w:color w:val="000000" w:themeColor="text1"/>
          <w:sz w:val="21"/>
          <w:szCs w:val="21"/>
          <w:highlight w:val="none"/>
          <w:lang w:eastAsia="zh-CN"/>
          <w14:textFill>
            <w14:solidFill>
              <w14:schemeClr w14:val="tx1"/>
            </w14:solidFill>
          </w14:textFill>
        </w:rPr>
        <w:t>乙方</w:t>
      </w:r>
      <w:r>
        <w:rPr>
          <w:rFonts w:hint="eastAsia" w:ascii="宋体" w:hAnsi="宋体" w:eastAsia="宋体" w:cs="宋体"/>
          <w:bCs/>
          <w:color w:val="000000" w:themeColor="text1"/>
          <w:sz w:val="21"/>
          <w:szCs w:val="21"/>
          <w:highlight w:val="none"/>
          <w:lang w:eastAsia="zh-CN"/>
          <w14:textFill>
            <w14:solidFill>
              <w14:schemeClr w14:val="tx1"/>
            </w14:solidFill>
          </w14:textFill>
        </w:rPr>
        <w:t>派遣的服务人员对于在工作中获悉的一切政府工作的信息应严格保守秘密，不得泄露；对于违反者，给</w:t>
      </w:r>
      <w:r>
        <w:rPr>
          <w:rFonts w:hint="eastAsia" w:ascii="宋体" w:hAnsi="宋体" w:cs="宋体"/>
          <w:bCs/>
          <w:color w:val="000000" w:themeColor="text1"/>
          <w:sz w:val="21"/>
          <w:szCs w:val="21"/>
          <w:highlight w:val="none"/>
          <w:lang w:eastAsia="zh-CN"/>
          <w14:textFill>
            <w14:solidFill>
              <w14:schemeClr w14:val="tx1"/>
            </w14:solidFill>
          </w14:textFill>
        </w:rPr>
        <w:t>甲方</w:t>
      </w:r>
      <w:r>
        <w:rPr>
          <w:rFonts w:hint="eastAsia" w:ascii="宋体" w:hAnsi="宋体" w:eastAsia="宋体" w:cs="宋体"/>
          <w:bCs/>
          <w:color w:val="000000" w:themeColor="text1"/>
          <w:sz w:val="21"/>
          <w:szCs w:val="21"/>
          <w:highlight w:val="none"/>
          <w:lang w:eastAsia="zh-CN"/>
          <w14:textFill>
            <w14:solidFill>
              <w14:schemeClr w14:val="tx1"/>
            </w14:solidFill>
          </w14:textFill>
        </w:rPr>
        <w:t>单位造成不良社会影响的，或给</w:t>
      </w:r>
      <w:r>
        <w:rPr>
          <w:rFonts w:hint="eastAsia" w:ascii="宋体" w:hAnsi="宋体" w:cs="宋体"/>
          <w:bCs/>
          <w:color w:val="000000" w:themeColor="text1"/>
          <w:sz w:val="21"/>
          <w:szCs w:val="21"/>
          <w:highlight w:val="none"/>
          <w:lang w:eastAsia="zh-CN"/>
          <w14:textFill>
            <w14:solidFill>
              <w14:schemeClr w14:val="tx1"/>
            </w14:solidFill>
          </w14:textFill>
        </w:rPr>
        <w:t>甲方</w:t>
      </w:r>
      <w:r>
        <w:rPr>
          <w:rFonts w:hint="eastAsia" w:ascii="宋体" w:hAnsi="宋体" w:eastAsia="宋体" w:cs="宋体"/>
          <w:bCs/>
          <w:color w:val="000000" w:themeColor="text1"/>
          <w:sz w:val="21"/>
          <w:szCs w:val="21"/>
          <w:highlight w:val="none"/>
          <w:lang w:eastAsia="zh-CN"/>
          <w14:textFill>
            <w14:solidFill>
              <w14:schemeClr w14:val="tx1"/>
            </w14:solidFill>
          </w14:textFill>
        </w:rPr>
        <w:t>单位造成损失的，由</w:t>
      </w:r>
      <w:r>
        <w:rPr>
          <w:rFonts w:hint="eastAsia" w:ascii="宋体" w:hAnsi="宋体" w:cs="宋体"/>
          <w:bCs/>
          <w:color w:val="000000" w:themeColor="text1"/>
          <w:sz w:val="21"/>
          <w:szCs w:val="21"/>
          <w:highlight w:val="none"/>
          <w:lang w:eastAsia="zh-CN"/>
          <w14:textFill>
            <w14:solidFill>
              <w14:schemeClr w14:val="tx1"/>
            </w14:solidFill>
          </w14:textFill>
        </w:rPr>
        <w:t>乙方</w:t>
      </w:r>
      <w:r>
        <w:rPr>
          <w:rFonts w:hint="eastAsia" w:ascii="宋体" w:hAnsi="宋体" w:eastAsia="宋体" w:cs="宋体"/>
          <w:bCs/>
          <w:color w:val="000000" w:themeColor="text1"/>
          <w:sz w:val="21"/>
          <w:szCs w:val="21"/>
          <w:highlight w:val="none"/>
          <w:lang w:eastAsia="zh-CN"/>
          <w14:textFill>
            <w14:solidFill>
              <w14:schemeClr w14:val="tx1"/>
            </w14:solidFill>
          </w14:textFill>
        </w:rPr>
        <w:t>承担赔偿责任。</w:t>
      </w:r>
    </w:p>
    <w:p w14:paraId="07A565DF">
      <w:pPr>
        <w:keepNext w:val="0"/>
        <w:keepLines w:val="0"/>
        <w:pageBreakBefore w:val="0"/>
        <w:widowControl w:val="0"/>
        <w:kinsoku/>
        <w:wordWrap/>
        <w:overflowPunct/>
        <w:topLinePunct w:val="0"/>
        <w:autoSpaceDE/>
        <w:autoSpaceDN/>
        <w:bidi w:val="0"/>
        <w:adjustRightInd/>
        <w:snapToGrid/>
        <w:spacing w:line="348" w:lineRule="auto"/>
        <w:ind w:left="105" w:firstLine="526"/>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2、考核（验收）标准和方法</w:t>
      </w:r>
      <w:r>
        <w:rPr>
          <w:rFonts w:hint="eastAsia" w:ascii="宋体" w:hAnsi="宋体" w:eastAsia="宋体" w:cs="宋体"/>
          <w:color w:val="000000" w:themeColor="text1"/>
          <w:sz w:val="21"/>
          <w:szCs w:val="21"/>
          <w:highlight w:val="none"/>
          <w:lang w:val="zh-CN" w:eastAsia="zh-CN"/>
          <w14:textFill>
            <w14:solidFill>
              <w14:schemeClr w14:val="tx1"/>
            </w14:solidFill>
          </w14:textFill>
        </w:rPr>
        <w:t>及退出机制：</w:t>
      </w:r>
      <w:r>
        <w:rPr>
          <w:rFonts w:hint="eastAsia" w:ascii="宋体" w:hAnsi="宋体" w:eastAsia="宋体" w:cs="宋体"/>
          <w:color w:val="000000" w:themeColor="text1"/>
          <w:sz w:val="21"/>
          <w:szCs w:val="21"/>
          <w:highlight w:val="none"/>
          <w14:textFill>
            <w14:solidFill>
              <w14:schemeClr w14:val="tx1"/>
            </w14:solidFill>
          </w14:textFill>
        </w:rPr>
        <w:t>现行的国家标准或国家行政部门颁布的法律法规、规章制度等，是项目验收的重要依据，</w:t>
      </w:r>
      <w:r>
        <w:rPr>
          <w:rFonts w:hint="eastAsia" w:ascii="宋体" w:hAnsi="宋体" w:cs="宋体"/>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根据有关规范、规定及项目要求对</w:t>
      </w:r>
      <w:r>
        <w:rPr>
          <w:rFonts w:hint="eastAsia" w:ascii="宋体" w:hAnsi="宋体" w:cs="宋体"/>
          <w:color w:val="000000" w:themeColor="text1"/>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服务进行检查或考核，</w:t>
      </w:r>
      <w:r>
        <w:rPr>
          <w:rFonts w:hint="eastAsia" w:ascii="宋体" w:hAnsi="宋体" w:cs="宋体"/>
          <w:color w:val="000000" w:themeColor="text1"/>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须接受</w:t>
      </w:r>
      <w:r>
        <w:rPr>
          <w:rFonts w:hint="eastAsia" w:ascii="宋体" w:hAnsi="宋体" w:cs="宋体"/>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的各类考核或检查；若验收不通过或服务质量不符合采购要求，</w:t>
      </w:r>
      <w:r>
        <w:rPr>
          <w:rFonts w:hint="eastAsia" w:ascii="宋体" w:hAnsi="宋体" w:cs="宋体"/>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应在一定期限以</w:t>
      </w:r>
      <w:r>
        <w:rPr>
          <w:rFonts w:hint="eastAsia" w:ascii="宋体" w:hAnsi="宋体" w:cs="宋体"/>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要求的标准进行整改或进一步完善，并再次进行考核或检查，若</w:t>
      </w:r>
      <w:r>
        <w:rPr>
          <w:rFonts w:hint="eastAsia" w:ascii="宋体" w:hAnsi="宋体" w:cs="宋体"/>
          <w:color w:val="000000" w:themeColor="text1"/>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在接受检查整改后最终仍未按要求提供符合要求和服务，</w:t>
      </w:r>
      <w:r>
        <w:rPr>
          <w:rFonts w:hint="eastAsia" w:ascii="宋体" w:hAnsi="宋体" w:cs="宋体"/>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有权按违约予以撤项，由此产生的一切责任和费用均由</w:t>
      </w:r>
      <w:r>
        <w:rPr>
          <w:rFonts w:hint="eastAsia" w:ascii="宋体" w:hAnsi="宋体" w:cs="宋体"/>
          <w:color w:val="000000" w:themeColor="text1"/>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承担</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具体如下：</w:t>
      </w:r>
    </w:p>
    <w:p w14:paraId="1044D139">
      <w:pPr>
        <w:pStyle w:val="9"/>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将依照</w:t>
      </w:r>
      <w:r>
        <w:rPr>
          <w:rFonts w:hint="eastAsia" w:ascii="宋体" w:hAnsi="宋体" w:eastAsia="宋体" w:cs="宋体"/>
          <w:color w:val="000000" w:themeColor="text1"/>
          <w:sz w:val="21"/>
          <w:szCs w:val="21"/>
          <w:highlight w:val="none"/>
          <w:lang w:val="en-US" w:eastAsia="zh-CN"/>
          <w14:textFill>
            <w14:solidFill>
              <w14:schemeClr w14:val="tx1"/>
            </w14:solidFill>
          </w14:textFill>
        </w:rPr>
        <w:t>考核办法</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检查服务方日常工作情况，并进行量化考核打分，根据考核打分结果核定服务质量，根据服务质量核定服务费用。</w:t>
      </w:r>
      <w:r>
        <w:rPr>
          <w:rFonts w:hint="eastAsia" w:ascii="宋体" w:hAnsi="宋体" w:eastAsia="宋体" w:cs="宋体"/>
          <w:color w:val="000000" w:themeColor="text1"/>
          <w:sz w:val="21"/>
          <w:szCs w:val="21"/>
          <w:highlight w:val="none"/>
          <w:lang w:val="en-US" w:eastAsia="zh-CN"/>
          <w14:textFill>
            <w14:solidFill>
              <w14:schemeClr w14:val="tx1"/>
            </w14:solidFill>
          </w14:textFill>
        </w:rPr>
        <w:t>作考核办法</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w:t>
      </w:r>
    </w:p>
    <w:p w14:paraId="3B50C4D6">
      <w:pPr>
        <w:pStyle w:val="3"/>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（1）考核办法：</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详见附</w:t>
      </w:r>
      <w:r>
        <w:rPr>
          <w:rFonts w:hint="eastAsia" w:ascii="宋体" w:hAnsi="宋体" w:cs="宋体"/>
          <w:b w:val="0"/>
          <w:bCs w:val="0"/>
          <w:color w:val="000000" w:themeColor="text1"/>
          <w:kern w:val="2"/>
          <w:sz w:val="21"/>
          <w:szCs w:val="21"/>
          <w:highlight w:val="none"/>
          <w:lang w:val="en-US" w:eastAsia="zh-CN" w:bidi="ar-SA"/>
          <w14:textFill>
            <w14:solidFill>
              <w14:schemeClr w14:val="tx1"/>
            </w14:solidFill>
          </w14:textFill>
        </w:rPr>
        <w:t>件：</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考核办法</w:t>
      </w:r>
      <w:r>
        <w:rPr>
          <w:rFonts w:hint="eastAsia" w:ascii="宋体" w:hAnsi="宋体" w:eastAsia="宋体" w:cs="宋体"/>
          <w:b w:val="0"/>
          <w:bCs w:val="0"/>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p>
    <w:p w14:paraId="56348A79">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2</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）退出机制： </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出现下列情况之一</w:t>
      </w:r>
      <w:r>
        <w:rPr>
          <w:rFonts w:hint="eastAsia" w:ascii="宋体" w:hAnsi="宋体" w:cs="宋体"/>
          <w:color w:val="000000" w:themeColor="text1"/>
          <w:kern w:val="0"/>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有权解除</w:t>
      </w:r>
      <w:r>
        <w:rPr>
          <w:rFonts w:hint="eastAsia" w:ascii="宋体" w:hAnsi="宋体" w:cs="宋体"/>
          <w:color w:val="000000" w:themeColor="text1"/>
          <w:kern w:val="0"/>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相应合同服务： </w:t>
      </w:r>
    </w:p>
    <w:p w14:paraId="5F5E201A">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(一)对月考核在 70 分以下(含 70 分)的、 一年内连续 2 次月考核在85 分以下的、 一年内累计有 3 次月考核在 85 分以下的。 </w:t>
      </w:r>
    </w:p>
    <w:p w14:paraId="5D3B391D">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(二)不能按时足额发放保洁员工资及各类福利待遇的；无故克扣或拖欠保洁员工资</w:t>
      </w:r>
      <w:r>
        <w:rPr>
          <w:rFonts w:hint="eastAsia"/>
          <w:color w:val="000000" w:themeColor="text1"/>
          <w:highlight w:val="none"/>
          <w:lang w:val="en-US" w:eastAsia="zh-CN"/>
          <w14:textFill>
            <w14:solidFill>
              <w14:schemeClr w14:val="tx1"/>
            </w14:solidFill>
          </w14:textFill>
        </w:rPr>
        <w:t>和</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各类福利待遇的，经书面警告不能及时补发改正的；不能按照要求及时办理保洁员社会保险的。 </w:t>
      </w:r>
    </w:p>
    <w:p w14:paraId="29116DC9">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(三)在日常工作、迎接检查和活动保障中出现重大失误 (市、区领导点名批评，或问责区城管局主要领导等)1 次，造成严重负面影响的。 </w:t>
      </w:r>
    </w:p>
    <w:p w14:paraId="37E6D3B1">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(四)工作存在严重纰漏，被媒体曝光(每日聚焦、政风行风热线、电视问政等)2 次，造成严重负面影响的。 </w:t>
      </w:r>
    </w:p>
    <w:p w14:paraId="5CBAEBBC">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(五)出现群体性事件应对不力，造成严重负面影响的。</w:t>
      </w:r>
    </w:p>
    <w:p w14:paraId="20FB2CF8">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五</w:t>
      </w:r>
      <w:r>
        <w:rPr>
          <w:rFonts w:hint="eastAsia" w:ascii="宋体" w:hAnsi="宋体" w:eastAsia="宋体" w:cs="宋体"/>
          <w:b/>
          <w:color w:val="000000" w:themeColor="text1"/>
          <w:sz w:val="21"/>
          <w:szCs w:val="21"/>
          <w:highlight w:val="none"/>
          <w14:textFill>
            <w14:solidFill>
              <w14:schemeClr w14:val="tx1"/>
            </w14:solidFill>
          </w14:textFill>
        </w:rPr>
        <w:t>条</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合同价款及支付方式</w:t>
      </w:r>
    </w:p>
    <w:p w14:paraId="1DDA214F">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1、合同价款</w:t>
      </w:r>
    </w:p>
    <w:p w14:paraId="050EA408">
      <w:pPr>
        <w:keepNext w:val="0"/>
        <w:keepLines w:val="0"/>
        <w:pageBreakBefore w:val="0"/>
        <w:widowControl w:val="0"/>
        <w:kinsoku/>
        <w:wordWrap/>
        <w:overflowPunct/>
        <w:topLinePunct w:val="0"/>
        <w:autoSpaceDE/>
        <w:autoSpaceDN/>
        <w:bidi w:val="0"/>
        <w:spacing w:line="348" w:lineRule="auto"/>
        <w:ind w:left="3812" w:firstLine="406"/>
        <w:textAlignment w:val="auto"/>
        <w:rPr>
          <w:rFonts w:hint="eastAsia" w:ascii="宋体" w:hAnsi="宋体" w:eastAsia="宋体" w:cs="宋体"/>
          <w:b/>
          <w:bCs/>
          <w:color w:val="000000" w:themeColor="text1"/>
          <w:spacing w:val="-4"/>
          <w:sz w:val="21"/>
          <w:szCs w:val="21"/>
          <w:highlight w:val="none"/>
          <w14:textFill>
            <w14:solidFill>
              <w14:schemeClr w14:val="tx1"/>
            </w14:solidFill>
          </w14:textFill>
        </w:rPr>
      </w:pPr>
      <w:r>
        <w:rPr>
          <w:rFonts w:hint="eastAsia" w:ascii="宋体" w:hAnsi="宋体" w:eastAsia="宋体" w:cs="宋体"/>
          <w:b/>
          <w:bCs/>
          <w:color w:val="000000" w:themeColor="text1"/>
          <w:spacing w:val="-4"/>
          <w:sz w:val="21"/>
          <w:szCs w:val="21"/>
          <w:highlight w:val="none"/>
          <w14:textFill>
            <w14:solidFill>
              <w14:schemeClr w14:val="tx1"/>
            </w14:solidFill>
          </w14:textFill>
        </w:rPr>
        <w:t>服务清单一览表</w:t>
      </w:r>
    </w:p>
    <w:tbl>
      <w:tblPr>
        <w:tblStyle w:val="10"/>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498D4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vAlign w:val="center"/>
          </w:tcPr>
          <w:p w14:paraId="4DD75A3D">
            <w:pPr>
              <w:pStyle w:val="2"/>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序号</w:t>
            </w:r>
          </w:p>
        </w:tc>
        <w:tc>
          <w:tcPr>
            <w:tcW w:w="2578" w:type="dxa"/>
            <w:vAlign w:val="center"/>
          </w:tcPr>
          <w:p w14:paraId="5902962F">
            <w:pPr>
              <w:pStyle w:val="2"/>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服务名称</w:t>
            </w:r>
          </w:p>
        </w:tc>
        <w:tc>
          <w:tcPr>
            <w:tcW w:w="1985" w:type="dxa"/>
            <w:vAlign w:val="center"/>
          </w:tcPr>
          <w:p w14:paraId="38E58ED6">
            <w:pPr>
              <w:pStyle w:val="2"/>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服务内容</w:t>
            </w:r>
          </w:p>
        </w:tc>
        <w:tc>
          <w:tcPr>
            <w:tcW w:w="1276" w:type="dxa"/>
            <w:vAlign w:val="center"/>
          </w:tcPr>
          <w:p w14:paraId="09E5E909">
            <w:pPr>
              <w:pStyle w:val="2"/>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计量单位</w:t>
            </w:r>
          </w:p>
        </w:tc>
        <w:tc>
          <w:tcPr>
            <w:tcW w:w="1417" w:type="dxa"/>
            <w:vAlign w:val="center"/>
          </w:tcPr>
          <w:p w14:paraId="2CC0D81A">
            <w:pPr>
              <w:pStyle w:val="2"/>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数量</w:t>
            </w:r>
          </w:p>
        </w:tc>
        <w:tc>
          <w:tcPr>
            <w:tcW w:w="1559" w:type="dxa"/>
            <w:vAlign w:val="center"/>
          </w:tcPr>
          <w:p w14:paraId="3CFB7C3A">
            <w:pPr>
              <w:pStyle w:val="2"/>
              <w:keepNext w:val="0"/>
              <w:keepLines w:val="0"/>
              <w:pageBreakBefore w:val="0"/>
              <w:widowControl w:val="0"/>
              <w:wordWrap/>
              <w:overflowPunct/>
              <w:topLinePunct w:val="0"/>
              <w:bidi w:val="0"/>
              <w:spacing w:line="360"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服务费用</w:t>
            </w:r>
          </w:p>
        </w:tc>
      </w:tr>
      <w:tr w14:paraId="693A4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493EEE18">
            <w:pPr>
              <w:pStyle w:val="11"/>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50B36417">
            <w:pPr>
              <w:pStyle w:val="11"/>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6794E541">
            <w:pPr>
              <w:pStyle w:val="11"/>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08239459">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r>
              <w:rPr>
                <w:rFonts w:hint="eastAsia" w:ascii="宋体" w:hAnsi="宋体" w:eastAsia="宋体" w:cs="宋体"/>
                <w:bCs/>
                <w:snapToGrid w:val="0"/>
                <w:color w:val="000000" w:themeColor="text1"/>
                <w:kern w:val="0"/>
                <w:sz w:val="21"/>
                <w:szCs w:val="21"/>
                <w:highlight w:val="none"/>
                <w14:textFill>
                  <w14:solidFill>
                    <w14:schemeClr w14:val="tx1"/>
                  </w14:solidFill>
                </w14:textFill>
              </w:rPr>
              <w:t>个</w:t>
            </w:r>
          </w:p>
        </w:tc>
        <w:tc>
          <w:tcPr>
            <w:tcW w:w="1417" w:type="dxa"/>
            <w:vAlign w:val="center"/>
          </w:tcPr>
          <w:p w14:paraId="63959862">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453CA19F">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6BDA9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1057D6A4">
            <w:pPr>
              <w:pStyle w:val="11"/>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30E00D9C">
            <w:pPr>
              <w:pStyle w:val="11"/>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215A5406">
            <w:pPr>
              <w:pStyle w:val="11"/>
              <w:keepNext w:val="0"/>
              <w:keepLines w:val="0"/>
              <w:pageBreakBefore w:val="0"/>
              <w:widowControl w:val="0"/>
              <w:wordWrap/>
              <w:overflowPunct/>
              <w:topLinePunct w:val="0"/>
              <w:bidi w:val="0"/>
              <w:spacing w:before="0" w:line="360"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433D1AEF">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417" w:type="dxa"/>
            <w:vAlign w:val="center"/>
          </w:tcPr>
          <w:p w14:paraId="6E8B6C7F">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01E8D047">
            <w:pPr>
              <w:keepNext w:val="0"/>
              <w:keepLines w:val="0"/>
              <w:pageBreakBefore w:val="0"/>
              <w:widowControl w:val="0"/>
              <w:wordWrap/>
              <w:overflowPunct/>
              <w:topLinePunct w:val="0"/>
              <w:bidi w:val="0"/>
              <w:spacing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4B0647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9636" w:type="dxa"/>
            <w:gridSpan w:val="6"/>
            <w:vAlign w:val="center"/>
          </w:tcPr>
          <w:p w14:paraId="21E61CEB">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18"/>
                <w:szCs w:val="18"/>
                <w:highlight w:val="none"/>
                <w14:textFill>
                  <w14:solidFill>
                    <w14:schemeClr w14:val="tx1"/>
                  </w14:solidFill>
                </w14:textFill>
              </w:rPr>
              <w:t>注：</w:t>
            </w:r>
            <w:r>
              <w:rPr>
                <w:rFonts w:hint="eastAsia" w:ascii="宋体" w:hAnsi="宋体" w:eastAsia="宋体" w:cs="宋体"/>
                <w:b w:val="0"/>
                <w:bCs w:val="0"/>
                <w:color w:val="000000" w:themeColor="text1"/>
                <w:kern w:val="0"/>
                <w:sz w:val="18"/>
                <w:szCs w:val="18"/>
                <w:highlight w:val="none"/>
                <w14:textFill>
                  <w14:solidFill>
                    <w14:schemeClr w14:val="tx1"/>
                  </w14:solidFill>
                </w14:textFill>
              </w:rPr>
              <w:t>合同执行期间，合同总价不发生改变。（注：</w:t>
            </w:r>
            <w:r>
              <w:rPr>
                <w:rFonts w:hint="eastAsia" w:ascii="宋体" w:hAnsi="宋体" w:eastAsia="宋体" w:cs="宋体"/>
                <w:i w:val="0"/>
                <w:iCs w:val="0"/>
                <w:caps w:val="0"/>
                <w:color w:val="000000" w:themeColor="text1"/>
                <w:spacing w:val="0"/>
                <w:sz w:val="18"/>
                <w:szCs w:val="18"/>
                <w:highlight w:val="none"/>
                <w:shd w:val="clear" w:color="auto" w:fill="FFFFFF"/>
                <w:lang w:val="en-US" w:eastAsia="zh-CN"/>
                <w14:textFill>
                  <w14:solidFill>
                    <w14:schemeClr w14:val="tx1"/>
                  </w14:solidFill>
                </w14:textFill>
              </w:rPr>
              <w:t>合同总价款是完成全部服务内容</w:t>
            </w:r>
            <w:r>
              <w:rPr>
                <w:rFonts w:hint="eastAsia" w:ascii="宋体" w:hAnsi="宋体" w:eastAsia="宋体" w:cs="宋体"/>
                <w:b w:val="0"/>
                <w:bCs w:val="0"/>
                <w:color w:val="000000" w:themeColor="text1"/>
                <w:kern w:val="0"/>
                <w:sz w:val="18"/>
                <w:szCs w:val="18"/>
                <w:highlight w:val="none"/>
                <w14:textFill>
                  <w14:solidFill>
                    <w14:schemeClr w14:val="tx1"/>
                  </w14:solidFill>
                </w14:textFill>
              </w:rPr>
              <w:t>所需的直接费、间接费、利润、税金及其它相关的一切费用，包括但不限于：人工费、服务费、设备使用费、巡视费</w:t>
            </w:r>
            <w:r>
              <w:rPr>
                <w:rFonts w:hint="eastAsia" w:ascii="宋体" w:hAnsi="宋体" w:cs="宋体"/>
                <w:b w:val="0"/>
                <w:bCs w:val="0"/>
                <w:color w:val="000000" w:themeColor="text1"/>
                <w:kern w:val="0"/>
                <w:sz w:val="18"/>
                <w:szCs w:val="18"/>
                <w:highlight w:val="none"/>
                <w:lang w:eastAsia="zh-CN"/>
                <w14:textFill>
                  <w14:solidFill>
                    <w14:schemeClr w14:val="tx1"/>
                  </w14:solidFill>
                </w14:textFill>
              </w:rPr>
              <w:t>、</w:t>
            </w:r>
            <w:r>
              <w:rPr>
                <w:rFonts w:hint="eastAsia" w:ascii="宋体" w:hAnsi="宋体" w:eastAsia="宋体" w:cs="宋体"/>
                <w:b w:val="0"/>
                <w:bCs w:val="0"/>
                <w:color w:val="000000" w:themeColor="text1"/>
                <w:kern w:val="0"/>
                <w:sz w:val="18"/>
                <w:szCs w:val="18"/>
                <w:highlight w:val="none"/>
                <w14:textFill>
                  <w14:solidFill>
                    <w14:schemeClr w14:val="tx1"/>
                  </w14:solidFill>
                </w14:textFill>
              </w:rPr>
              <w:t>管理费、验收费、采购代理服务费、利润、税金及不可预见费等全部费用；在提供服务的过程中的任何遗漏，均由乙方免费提供，甲方将不再支付任何费用）。</w:t>
            </w:r>
          </w:p>
        </w:tc>
      </w:tr>
    </w:tbl>
    <w:p w14:paraId="48C05DB8">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2、支付方式</w:t>
      </w:r>
    </w:p>
    <w:p w14:paraId="08182D93">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（1）按月结算：</w:t>
      </w:r>
      <w:r>
        <w:rPr>
          <w:rFonts w:hint="eastAsia" w:ascii="宋体" w:hAnsi="宋体" w:eastAsia="宋体" w:cs="宋体"/>
          <w:color w:val="000000" w:themeColor="text1"/>
          <w:sz w:val="21"/>
          <w:szCs w:val="21"/>
          <w:highlight w:val="none"/>
          <w14:textFill>
            <w14:solidFill>
              <w14:schemeClr w14:val="tx1"/>
            </w14:solidFill>
          </w14:textFill>
        </w:rPr>
        <w:t>按月支付</w:t>
      </w:r>
      <w:r>
        <w:rPr>
          <w:rFonts w:hint="eastAsia" w:ascii="宋体" w:hAnsi="宋体" w:eastAsia="宋体" w:cs="宋体"/>
          <w:color w:val="000000" w:themeColor="text1"/>
          <w:sz w:val="21"/>
          <w:szCs w:val="21"/>
          <w:highlight w:val="none"/>
          <w:lang w:val="en-US" w:eastAsia="zh-CN"/>
          <w14:textFill>
            <w14:solidFill>
              <w14:schemeClr w14:val="tx1"/>
            </w14:solidFill>
          </w14:textFill>
        </w:rPr>
        <w:t>，每月服务期满后，乙方方将上月服务人员及服务清单递交甲方，经甲方审核后5日内采购人一次性支付上月服务费用</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p w14:paraId="3900E97C">
      <w:pPr>
        <w:pStyle w:val="3"/>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付款前，乙方应开具与付款金额一致的正式发票给甲方，甲方收到发票后以银行转账形式支付给乙方服务费，否则，甲方有权拒绝付款且不承担任何违约责任，且乙方不得以此为由停止履行本合同项下的任意义务。</w:t>
      </w:r>
    </w:p>
    <w:p w14:paraId="5395CA93">
      <w:pPr>
        <w:pStyle w:val="3"/>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（3）因甲方所有的付款均需财政部门审批，本合同履行期间，非因甲方故意拖延付款申请流程造成的逾期付款的，乙方对此予以谅解不得追究甲方的逾期付款责任。</w:t>
      </w:r>
    </w:p>
    <w:p w14:paraId="46480F88">
      <w:pPr>
        <w:pStyle w:val="9"/>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lang w:val="en-US" w:eastAsia="zh-CN"/>
          <w14:textFill>
            <w14:solidFill>
              <w14:schemeClr w14:val="tx1"/>
            </w14:solidFill>
          </w14:textFill>
        </w:rPr>
        <w:t>4</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甲方可直接或间接的根据政府购买服务绩效管理办法对项目进行绩效评价，资金支付将与绩效评价结果关联，其中评价结果为优的，付至合同总价的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%，评价结果为良好的，付至合同总价的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%，评价结果为合格的，付至合同总价的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%，评价结果为差的，付至合同总价的</w:t>
      </w:r>
      <w:r>
        <w:rPr>
          <w:rFonts w:hint="eastAsia" w:ascii="宋体" w:hAnsi="宋体"/>
          <w:color w:val="000000" w:themeColor="text1"/>
          <w:sz w:val="21"/>
          <w:szCs w:val="21"/>
          <w:highlight w:val="none"/>
          <w:u w:val="single"/>
          <w14:textFill>
            <w14:solidFill>
              <w14:schemeClr w14:val="tx1"/>
            </w14:solidFill>
          </w14:textFill>
        </w:rPr>
        <w:t xml:space="preserve">  </w:t>
      </w:r>
      <w:r>
        <w:rPr>
          <w:rFonts w:hint="eastAsia" w:ascii="宋体" w:hAnsi="宋体"/>
          <w:color w:val="000000" w:themeColor="text1"/>
          <w:sz w:val="21"/>
          <w:szCs w:val="21"/>
          <w:highlight w:val="none"/>
          <w14:textFill>
            <w14:solidFill>
              <w14:schemeClr w14:val="tx1"/>
            </w14:solidFill>
          </w14:textFill>
        </w:rPr>
        <w:t>%。（90分以上为优秀，80分以上、不足90分的为良好，60分以上、不足80分的为合格，不足60分的为不合格。）</w:t>
      </w:r>
    </w:p>
    <w:p w14:paraId="73CAF1F6">
      <w:pPr>
        <w:keepNext w:val="0"/>
        <w:keepLines w:val="0"/>
        <w:pageBreakBefore w:val="0"/>
        <w:widowControl w:val="0"/>
        <w:kinsoku/>
        <w:wordWrap/>
        <w:overflowPunct/>
        <w:topLinePunct w:val="0"/>
        <w:autoSpaceDE/>
        <w:autoSpaceDN/>
        <w:bidi w:val="0"/>
        <w:spacing w:line="348" w:lineRule="auto"/>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六</w:t>
      </w:r>
      <w:r>
        <w:rPr>
          <w:rFonts w:hint="eastAsia" w:ascii="宋体" w:hAnsi="宋体" w:eastAsia="宋体" w:cs="宋体"/>
          <w:b/>
          <w:color w:val="000000" w:themeColor="text1"/>
          <w:sz w:val="21"/>
          <w:szCs w:val="21"/>
          <w:highlight w:val="none"/>
          <w14:textFill>
            <w14:solidFill>
              <w14:schemeClr w14:val="tx1"/>
            </w14:solidFill>
          </w14:textFill>
        </w:rPr>
        <w:t>条  知识产权</w:t>
      </w:r>
    </w:p>
    <w:p w14:paraId="32171497">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1、乙方应保证所提供的服务其任何一部分均不会侵犯任何第三方的专利权、商标权或著作权。</w:t>
      </w:r>
    </w:p>
    <w:p w14:paraId="016A6A0E">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2、乙方保证其项目实施过程中不侵犯任何第三方的知识产权</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0E2B3CBE">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七</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甲方的权利和义务</w:t>
      </w:r>
    </w:p>
    <w:p w14:paraId="70C834A1">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甲方有权对合同规定范围内乙方的服务行为进行监督和检查，拥有监管权。有权定期核对乙方提供服务所配备的人员数量。对甲方认为不合理的部分有权下达整改通知书，并要求乙方限期整改。</w:t>
      </w:r>
    </w:p>
    <w:p w14:paraId="466B388F">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甲方有权依据双方签订的考评办法对乙方提供的服务进行定期考评。</w:t>
      </w:r>
    </w:p>
    <w:p w14:paraId="3C87CD63">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负责检查监督乙方管理工作的实施及制度的执行情况。</w:t>
      </w:r>
    </w:p>
    <w:p w14:paraId="2EAF1B8E">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根据本合同规定，按时向乙方支付应付服务费用。</w:t>
      </w:r>
    </w:p>
    <w:p w14:paraId="1877CEE2">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5</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国家法律、法规所规定由甲方承担的其它责任。</w:t>
      </w:r>
    </w:p>
    <w:p w14:paraId="25D836CB">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八</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乙方的权利和义务</w:t>
      </w:r>
    </w:p>
    <w:p w14:paraId="2789CE75">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对本合同规定的委托服务范围内的项目享有管理权及服务义务。</w:t>
      </w:r>
    </w:p>
    <w:p w14:paraId="43BB23F7">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根据本合同的规定向甲方收取相关服务费用，并有权在本项目管理范围内管理及合理使用。</w:t>
      </w:r>
    </w:p>
    <w:p w14:paraId="6A93AC27">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及时向甲方通告本项目服务范围内有关服务的重大事项，及时配合处理投诉。</w:t>
      </w:r>
    </w:p>
    <w:p w14:paraId="4CFE4633">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接受项目行业管理部门及政府有关部门的指导，接受甲方的监督。</w:t>
      </w:r>
    </w:p>
    <w:p w14:paraId="4A83A8E7">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5</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国家法律、法规所规定由乙方承担的其它责任。</w:t>
      </w:r>
    </w:p>
    <w:p w14:paraId="0F6231C5">
      <w:pPr>
        <w:keepNext w:val="0"/>
        <w:keepLines w:val="0"/>
        <w:pageBreakBefore w:val="0"/>
        <w:widowControl w:val="0"/>
        <w:numPr>
          <w:ilvl w:val="0"/>
          <w:numId w:val="0"/>
        </w:numPr>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九</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违约责任</w:t>
      </w:r>
    </w:p>
    <w:p w14:paraId="22E8A75F">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甲乙双方必须遵守本合同并执行合同中的各项规定，保证本合同的正常履行。</w:t>
      </w:r>
    </w:p>
    <w:p w14:paraId="5D062CF4">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A6EE468">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宋体" w:hAnsi="宋体" w:eastAsia="宋体" w:cs="宋体"/>
          <w:b/>
          <w:bCs/>
          <w:color w:val="000000" w:themeColor="text1"/>
          <w:sz w:val="21"/>
          <w:szCs w:val="21"/>
          <w:highlight w:val="none"/>
          <w:lang w:val="zh-CN" w:eastAsia="zh-CN"/>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十</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bCs/>
          <w:color w:val="000000" w:themeColor="text1"/>
          <w:sz w:val="21"/>
          <w:szCs w:val="21"/>
          <w:highlight w:val="none"/>
          <w:lang w:val="zh-CN" w:eastAsia="zh-CN"/>
          <w14:textFill>
            <w14:solidFill>
              <w14:schemeClr w14:val="tx1"/>
            </w14:solidFill>
          </w14:textFill>
        </w:rPr>
        <w:t>不可抗力事件处理</w:t>
      </w:r>
    </w:p>
    <w:p w14:paraId="222E464D">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在合同有效期内，任何一方因不可抗力事件导致不能履行合同，则合同履行期可延长，其延长期与不可抗力影响期相同。</w:t>
      </w:r>
    </w:p>
    <w:p w14:paraId="34E2BED0">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不可抗力事件发生后，应立即通知对方，并寄送有关权威机构出具的证明。</w:t>
      </w:r>
    </w:p>
    <w:p w14:paraId="03C102FB">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不可抗力事件延续</w:t>
      </w:r>
      <w:r>
        <w:rPr>
          <w:rFonts w:hint="eastAsia" w:ascii="宋体" w:hAnsi="宋体" w:eastAsia="宋体" w:cs="宋体"/>
          <w:color w:val="000000" w:themeColor="text1"/>
          <w:sz w:val="21"/>
          <w:szCs w:val="21"/>
          <w:highlight w:val="none"/>
          <w:lang w:val="en-US" w:eastAsia="zh-CN"/>
          <w14:textFill>
            <w14:solidFill>
              <w14:schemeClr w14:val="tx1"/>
            </w14:solidFill>
          </w14:textFill>
        </w:rPr>
        <w:t>30</w:t>
      </w:r>
      <w:r>
        <w:rPr>
          <w:rFonts w:hint="eastAsia" w:ascii="宋体" w:hAnsi="宋体" w:eastAsia="宋体" w:cs="宋体"/>
          <w:color w:val="000000" w:themeColor="text1"/>
          <w:sz w:val="21"/>
          <w:szCs w:val="21"/>
          <w:highlight w:val="none"/>
          <w:lang w:val="zh-CN" w:eastAsia="zh-CN"/>
          <w14:textFill>
            <w14:solidFill>
              <w14:schemeClr w14:val="tx1"/>
            </w14:solidFill>
          </w14:textFill>
        </w:rPr>
        <w:t>天以上，双方应通过友好协商，确定是否继续履行合同。</w:t>
      </w:r>
    </w:p>
    <w:p w14:paraId="3A50F5C4">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十一</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bCs/>
          <w:color w:val="000000" w:themeColor="text1"/>
          <w:sz w:val="21"/>
          <w:szCs w:val="21"/>
          <w:highlight w:val="none"/>
          <w:lang w:val="zh-CN" w:eastAsia="zh-CN"/>
          <w14:textFill>
            <w14:solidFill>
              <w14:schemeClr w14:val="tx1"/>
            </w14:solidFill>
          </w14:textFill>
        </w:rPr>
        <w:t>合同的变更和终止</w:t>
      </w:r>
    </w:p>
    <w:p w14:paraId="5113CFF1">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除《中华人民共和国政府采购法》第49条、第50条第二款规定的情形外，本合同一经签订，甲乙双方不得擅自变更、中止或终止合同。</w:t>
      </w:r>
    </w:p>
    <w:p w14:paraId="586F45ED">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宋体" w:hAnsi="宋体" w:eastAsia="宋体" w:cs="宋体"/>
          <w:b/>
          <w:bCs/>
          <w:color w:val="000000" w:themeColor="text1"/>
          <w:sz w:val="21"/>
          <w:szCs w:val="21"/>
          <w:highlight w:val="none"/>
          <w:lang w:val="zh-CN" w:eastAsia="zh-CN"/>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十二</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bCs/>
          <w:color w:val="000000" w:themeColor="text1"/>
          <w:sz w:val="21"/>
          <w:szCs w:val="21"/>
          <w:highlight w:val="none"/>
          <w:lang w:val="zh-CN" w:eastAsia="zh-CN"/>
          <w14:textFill>
            <w14:solidFill>
              <w14:schemeClr w14:val="tx1"/>
            </w14:solidFill>
          </w14:textFill>
        </w:rPr>
        <w:t>解决合同纠纷的方式</w:t>
      </w:r>
    </w:p>
    <w:p w14:paraId="7BACFDB8">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在执行本合同中发生的或与本合同有关的争端，双方应通过友好协商解决，经协商在</w:t>
      </w:r>
      <w:r>
        <w:rPr>
          <w:rFonts w:hint="eastAsia" w:ascii="宋体" w:hAnsi="宋体" w:eastAsia="宋体" w:cs="宋体"/>
          <w:color w:val="000000" w:themeColor="text1"/>
          <w:sz w:val="21"/>
          <w:szCs w:val="21"/>
          <w:highlight w:val="none"/>
          <w:lang w:val="en-US" w:eastAsia="zh-CN"/>
          <w14:textFill>
            <w14:solidFill>
              <w14:schemeClr w14:val="tx1"/>
            </w14:solidFill>
          </w14:textFill>
        </w:rPr>
        <w:t>30</w:t>
      </w:r>
      <w:r>
        <w:rPr>
          <w:rFonts w:hint="eastAsia" w:ascii="宋体" w:hAnsi="宋体" w:eastAsia="宋体" w:cs="宋体"/>
          <w:color w:val="000000" w:themeColor="text1"/>
          <w:sz w:val="21"/>
          <w:szCs w:val="21"/>
          <w:highlight w:val="none"/>
          <w:lang w:val="zh-CN" w:eastAsia="zh-CN"/>
          <w14:textFill>
            <w14:solidFill>
              <w14:schemeClr w14:val="tx1"/>
            </w14:solidFill>
          </w14:textFill>
        </w:rPr>
        <w:t>天内不能达成协议时，则采取以下第</w:t>
      </w:r>
      <w:r>
        <w:rPr>
          <w:rFonts w:hint="eastAsia" w:ascii="宋体" w:hAnsi="宋体" w:eastAsia="宋体" w:cs="宋体"/>
          <w:color w:val="000000" w:themeColor="text1"/>
          <w:sz w:val="21"/>
          <w:szCs w:val="21"/>
          <w:highlight w:val="none"/>
          <w:u w:val="single"/>
          <w:lang w:val="zh-CN" w:eastAsia="zh-CN"/>
          <w14:textFill>
            <w14:solidFill>
              <w14:schemeClr w14:val="tx1"/>
            </w14:solidFill>
          </w14:textFill>
        </w:rPr>
        <w:t>2</w:t>
      </w:r>
      <w:r>
        <w:rPr>
          <w:rFonts w:hint="eastAsia" w:ascii="宋体" w:hAnsi="宋体" w:eastAsia="宋体" w:cs="宋体"/>
          <w:color w:val="000000" w:themeColor="text1"/>
          <w:sz w:val="21"/>
          <w:szCs w:val="21"/>
          <w:highlight w:val="none"/>
          <w:lang w:val="zh-CN" w:eastAsia="zh-CN"/>
          <w14:textFill>
            <w14:solidFill>
              <w14:schemeClr w14:val="tx1"/>
            </w14:solidFill>
          </w14:textFill>
        </w:rPr>
        <w:t>种方式解决争议：</w:t>
      </w:r>
    </w:p>
    <w:p w14:paraId="111484DC">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（1）向甲方所在地有管辖权的人民法院提起诉讼；</w:t>
      </w:r>
    </w:p>
    <w:p w14:paraId="31F1B102">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（2）向西安市仲裁委员会按其仲裁规则申请仲裁。</w:t>
      </w:r>
    </w:p>
    <w:p w14:paraId="55AF95B8">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在仲裁期间，本合同应继续履行。</w:t>
      </w:r>
    </w:p>
    <w:p w14:paraId="7D24B278">
      <w:pPr>
        <w:keepNext w:val="0"/>
        <w:keepLines w:val="0"/>
        <w:pageBreakBefore w:val="0"/>
        <w:widowControl w:val="0"/>
        <w:kinsoku/>
        <w:wordWrap/>
        <w:overflowPunct/>
        <w:topLinePunct w:val="0"/>
        <w:autoSpaceDE/>
        <w:autoSpaceDN/>
        <w:bidi w:val="0"/>
        <w:spacing w:line="348" w:lineRule="auto"/>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b/>
          <w:color w:val="000000" w:themeColor="text1"/>
          <w:sz w:val="21"/>
          <w:szCs w:val="21"/>
          <w:highlight w:val="none"/>
          <w14:textFill>
            <w14:solidFill>
              <w14:schemeClr w14:val="tx1"/>
            </w14:solidFill>
          </w14:textFill>
        </w:rPr>
        <w:t>条  附件</w:t>
      </w:r>
    </w:p>
    <w:p w14:paraId="69116818">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1、采购文件</w:t>
      </w:r>
    </w:p>
    <w:p w14:paraId="64A22C8C">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2、修改澄清文件</w:t>
      </w:r>
    </w:p>
    <w:p w14:paraId="40989E66">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3、响应文件</w:t>
      </w:r>
    </w:p>
    <w:p w14:paraId="2019378C">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通知书</w:t>
      </w:r>
    </w:p>
    <w:p w14:paraId="5AE1AA14">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5、其他</w:t>
      </w:r>
    </w:p>
    <w:p w14:paraId="76A74A4E">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四</w:t>
      </w:r>
      <w:r>
        <w:rPr>
          <w:rFonts w:hint="eastAsia" w:ascii="宋体" w:hAnsi="宋体" w:eastAsia="宋体" w:cs="宋体"/>
          <w:b/>
          <w:color w:val="000000" w:themeColor="text1"/>
          <w:sz w:val="21"/>
          <w:szCs w:val="21"/>
          <w:highlight w:val="none"/>
          <w14:textFill>
            <w14:solidFill>
              <w14:schemeClr w14:val="tx1"/>
            </w14:solidFill>
          </w14:textFill>
        </w:rPr>
        <w:t>条  合同生效及其他</w:t>
      </w:r>
    </w:p>
    <w:p w14:paraId="70B2A59C">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1、合同经双方法定代表人或授权委托代理人签字并加盖单位公章后生效。</w:t>
      </w:r>
    </w:p>
    <w:p w14:paraId="489B099E">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11235B68">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3、本合同一式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份，自双方签章之日起</w:t>
      </w:r>
      <w:r>
        <w:rPr>
          <w:rFonts w:hint="eastAsia" w:ascii="宋体" w:hAnsi="宋体" w:cs="宋体"/>
          <w:color w:val="000000" w:themeColor="text1"/>
          <w:sz w:val="21"/>
          <w:szCs w:val="21"/>
          <w:highlight w:val="none"/>
          <w:lang w:val="en-US" w:eastAsia="zh-CN"/>
          <w14:textFill>
            <w14:solidFill>
              <w14:schemeClr w14:val="tx1"/>
            </w14:solidFill>
          </w14:textFill>
        </w:rPr>
        <w:t>生</w:t>
      </w:r>
      <w:r>
        <w:rPr>
          <w:rFonts w:hint="eastAsia" w:ascii="宋体" w:hAnsi="宋体" w:eastAsia="宋体" w:cs="宋体"/>
          <w:color w:val="000000" w:themeColor="text1"/>
          <w:sz w:val="21"/>
          <w:szCs w:val="21"/>
          <w:highlight w:val="none"/>
          <w14:textFill>
            <w14:solidFill>
              <w14:schemeClr w14:val="tx1"/>
            </w14:solidFill>
          </w14:textFill>
        </w:rPr>
        <w:t>效。甲方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份，乙方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份，政府采购代理机构壹份，同级财政部门备案壹份，具有同等法律效力。</w:t>
      </w:r>
    </w:p>
    <w:p w14:paraId="5171D6D5">
      <w:pPr>
        <w:keepNext w:val="0"/>
        <w:keepLines w:val="0"/>
        <w:pageBreakBefore w:val="0"/>
        <w:widowControl w:val="0"/>
        <w:kinsoku/>
        <w:wordWrap/>
        <w:overflowPunct/>
        <w:topLinePunct w:val="0"/>
        <w:autoSpaceDE/>
        <w:autoSpaceDN/>
        <w:bidi w:val="0"/>
        <w:spacing w:line="348" w:lineRule="auto"/>
        <w:ind w:firstLine="422"/>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（以下无正文为合同签署页）</w:t>
      </w:r>
    </w:p>
    <w:p w14:paraId="042381ED">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甲方（盖章）：                          乙方（盖章）：                   </w:t>
      </w:r>
    </w:p>
    <w:p w14:paraId="40E863D7">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授权代理人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法定代表人</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授权代理人             </w:t>
      </w:r>
    </w:p>
    <w:p w14:paraId="53901141">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签字或盖章</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签字或盖章</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5629966A">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地址：                                  地址：                        </w:t>
      </w:r>
    </w:p>
    <w:p w14:paraId="251BB5AF">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电话：                                  电话：                    </w:t>
      </w:r>
    </w:p>
    <w:p w14:paraId="6E8CB929">
      <w:pPr>
        <w:pStyle w:val="4"/>
        <w:keepNext w:val="0"/>
        <w:keepLines w:val="0"/>
        <w:pageBreakBefore w:val="0"/>
        <w:widowControl w:val="0"/>
        <w:kinsoku/>
        <w:wordWrap/>
        <w:overflowPunct/>
        <w:topLinePunct w:val="0"/>
        <w:autoSpaceDE/>
        <w:autoSpaceDN/>
        <w:bidi w:val="0"/>
        <w:adjustRightInd w:val="0"/>
        <w:snapToGrid w:val="0"/>
        <w:spacing w:line="348"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账户名称：</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账户名称：</w:t>
      </w:r>
    </w:p>
    <w:p w14:paraId="305D9E27">
      <w:pPr>
        <w:pStyle w:val="4"/>
        <w:keepNext w:val="0"/>
        <w:keepLines w:val="0"/>
        <w:pageBreakBefore w:val="0"/>
        <w:widowControl w:val="0"/>
        <w:kinsoku/>
        <w:wordWrap/>
        <w:overflowPunct/>
        <w:topLinePunct w:val="0"/>
        <w:autoSpaceDE/>
        <w:autoSpaceDN/>
        <w:bidi w:val="0"/>
        <w:adjustRightInd w:val="0"/>
        <w:snapToGrid w:val="0"/>
        <w:spacing w:line="348"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账户号码：</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账户号码：</w:t>
      </w:r>
    </w:p>
    <w:p w14:paraId="4B5BC753">
      <w:pPr>
        <w:pStyle w:val="4"/>
        <w:keepNext w:val="0"/>
        <w:keepLines w:val="0"/>
        <w:pageBreakBefore w:val="0"/>
        <w:widowControl w:val="0"/>
        <w:kinsoku/>
        <w:wordWrap/>
        <w:overflowPunct/>
        <w:topLinePunct w:val="0"/>
        <w:autoSpaceDE/>
        <w:autoSpaceDN/>
        <w:bidi w:val="0"/>
        <w:adjustRightInd w:val="0"/>
        <w:snapToGrid w:val="0"/>
        <w:spacing w:line="348"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开户银行：</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开户银行：</w:t>
      </w:r>
    </w:p>
    <w:p w14:paraId="0D7998FE">
      <w:pPr>
        <w:keepNext w:val="0"/>
        <w:keepLines w:val="0"/>
        <w:pageBreakBefore w:val="0"/>
        <w:widowControl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签约时间：                              签约时间： </w:t>
      </w:r>
    </w:p>
    <w:p w14:paraId="58F9441F">
      <w:pPr>
        <w:keepNext w:val="0"/>
        <w:keepLines w:val="0"/>
        <w:pageBreakBefore w:val="0"/>
        <w:widowControl w:val="0"/>
        <w:wordWrap/>
        <w:overflowPunct/>
        <w:topLinePunct w:val="0"/>
        <w:bidi w:val="0"/>
        <w:spacing w:line="348" w:lineRule="auto"/>
        <w:ind w:firstLine="422" w:firstLineChars="200"/>
        <w:rPr>
          <w:rFonts w:hint="eastAsia" w:ascii="宋体" w:hAnsi="宋体" w:eastAsia="宋体" w:cs="宋体"/>
          <w:b/>
          <w:color w:val="000000" w:themeColor="text1"/>
          <w:szCs w:val="21"/>
          <w:highlight w:val="none"/>
          <w14:textFill>
            <w14:solidFill>
              <w14:schemeClr w14:val="tx1"/>
            </w14:solidFill>
          </w14:textFill>
        </w:rPr>
        <w:sectPr>
          <w:pgSz w:w="11906" w:h="16838"/>
          <w:pgMar w:top="1219" w:right="1672" w:bottom="1276" w:left="2239" w:header="851" w:footer="992" w:gutter="0"/>
          <w:cols w:space="425" w:num="1"/>
          <w:docGrid w:type="lines" w:linePitch="312" w:charSpace="0"/>
        </w:sectPr>
      </w:pPr>
    </w:p>
    <w:p w14:paraId="5D5E287D">
      <w:pPr>
        <w:rPr>
          <w:rFonts w:hint="eastAsia" w:ascii="宋体" w:hAnsi="宋体" w:cs="Times New Roman"/>
          <w:b/>
          <w:bCs/>
          <w:color w:val="000000" w:themeColor="text1"/>
          <w:kern w:val="2"/>
          <w:sz w:val="21"/>
          <w:szCs w:val="21"/>
          <w:highlight w:val="none"/>
          <w:lang w:val="en-US" w:eastAsia="zh-CN" w:bidi="ar-SA"/>
          <w14:textFill>
            <w14:solidFill>
              <w14:schemeClr w14:val="tx1"/>
            </w14:solidFill>
          </w14:textFill>
        </w:rPr>
      </w:pPr>
      <w:r>
        <w:rPr>
          <w:rFonts w:hint="eastAsia" w:ascii="宋体" w:hAnsi="宋体" w:cs="Times New Roman"/>
          <w:b/>
          <w:bCs/>
          <w:color w:val="000000" w:themeColor="text1"/>
          <w:kern w:val="2"/>
          <w:sz w:val="21"/>
          <w:szCs w:val="21"/>
          <w:highlight w:val="none"/>
          <w:lang w:val="en-US" w:eastAsia="zh-CN" w:bidi="ar-SA"/>
          <w14:textFill>
            <w14:solidFill>
              <w14:schemeClr w14:val="tx1"/>
            </w14:solidFill>
          </w14:textFill>
        </w:rPr>
        <w:t>附表：</w:t>
      </w:r>
    </w:p>
    <w:p w14:paraId="7CBCD3E5">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center"/>
        <w:textAlignment w:val="auto"/>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考核办法</w:t>
      </w: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w:t>
      </w:r>
    </w:p>
    <w:p w14:paraId="21878A22">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为强化检查，健全和完善道路保洁考核体系，保障道路清扫保洁市场化工作顺利实施，依据《西安市市容环卫管理</w:t>
      </w:r>
      <w:r>
        <w:rPr>
          <w:rFonts w:hint="eastAsia" w:ascii="宋体" w:hAnsi="宋体" w:cs="宋体"/>
          <w:color w:val="000000" w:themeColor="text1"/>
          <w:kern w:val="0"/>
          <w:sz w:val="21"/>
          <w:szCs w:val="21"/>
          <w:highlight w:val="none"/>
          <w:lang w:val="en-US" w:eastAsia="zh-CN"/>
          <w14:textFill>
            <w14:solidFill>
              <w14:schemeClr w14:val="tx1"/>
            </w14:solidFill>
          </w14:textFill>
        </w:rPr>
        <w:t>工作</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标准》(市城管发〔201</w:t>
      </w:r>
      <w:r>
        <w:rPr>
          <w:rFonts w:hint="eastAsia" w:ascii="宋体" w:hAnsi="宋体" w:cs="宋体"/>
          <w:color w:val="000000" w:themeColor="text1"/>
          <w:kern w:val="0"/>
          <w:sz w:val="21"/>
          <w:szCs w:val="21"/>
          <w:highlight w:val="none"/>
          <w:lang w:val="en-US" w:eastAsia="zh-CN"/>
          <w14:textFill>
            <w14:solidFill>
              <w14:schemeClr w14:val="tx1"/>
            </w14:solidFill>
          </w14:textFill>
        </w:rPr>
        <w:t>6</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〕87 号)以及雁塔区考核工作要求，结合我街办实际，制定本考核办法。 </w:t>
      </w:r>
    </w:p>
    <w:p w14:paraId="20B00477">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 xml:space="preserve">一、考评对象、范围及内容 </w:t>
      </w:r>
    </w:p>
    <w:p w14:paraId="56A2A711">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(一)考评对象 </w:t>
      </w:r>
    </w:p>
    <w:p w14:paraId="182FBD9E">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承担本街办道路清扫保洁任务的各市场化企业。 </w:t>
      </w:r>
    </w:p>
    <w:p w14:paraId="6461E66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(二)考评范围 </w:t>
      </w:r>
    </w:p>
    <w:p w14:paraId="417BAC7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本街办实施市场化的清扫保洁区域。 </w:t>
      </w:r>
    </w:p>
    <w:p w14:paraId="12C66E19">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(三)考评内容 </w:t>
      </w:r>
    </w:p>
    <w:p w14:paraId="08FCACF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1、城市道路(道路两侧立面到立面)路面垃圾、沙土、积 水、浮泥等杂物的清除，以及各类抛洒、砖块、碎石等固体废 弃物的清理清除； </w:t>
      </w:r>
    </w:p>
    <w:p w14:paraId="5791ECFF">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2、辖区内人行天桥、立交桥及公共广场的清扫保洁工作； </w:t>
      </w:r>
    </w:p>
    <w:p w14:paraId="25ABDBC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3、人行道至沿街门店延伸段的清扫保洁工作； </w:t>
      </w:r>
    </w:p>
    <w:p w14:paraId="3BA56F2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4、作业区内环卫设施的清掏、擦洗、管护、平面及立面各 类“野广告”的清除、落叶的清扫、清运工作； </w:t>
      </w:r>
    </w:p>
    <w:p w14:paraId="4C25398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5、雨、雪过后道路积水、积雪、积冰清扫和清除工作；绿地广场、绿化带(已另行实施市场化养护的除外)及树池保洁清掏工作； </w:t>
      </w:r>
    </w:p>
    <w:p w14:paraId="3BD6EF2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6、机械化作业规范执行情况； </w:t>
      </w:r>
    </w:p>
    <w:p w14:paraId="2E76102B">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7、媒体曝光投诉、上级部门通报批评及整改落实情况； </w:t>
      </w:r>
    </w:p>
    <w:p w14:paraId="072CDEC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8、突发事件应急保障工作方案制定及实际应对情况； </w:t>
      </w:r>
    </w:p>
    <w:p w14:paraId="3B0AB162">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9、台账资料(各项整治、重大活动、重要线路保障工作方案、作业计划、数据台账等) 情况。 </w:t>
      </w:r>
    </w:p>
    <w:p w14:paraId="2DF11F7C">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 xml:space="preserve">二、考核方式 </w:t>
      </w:r>
    </w:p>
    <w:p w14:paraId="552BBFE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市场化考核，由月考核和年度综合考核组成。 </w:t>
      </w:r>
    </w:p>
    <w:p w14:paraId="2D75B4A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(一)月考核</w:t>
      </w:r>
    </w:p>
    <w:p w14:paraId="18D2CDF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月考核包含日常检查、集中检查。 </w:t>
      </w:r>
    </w:p>
    <w:p w14:paraId="54DB51D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1、日常检查 </w:t>
      </w:r>
    </w:p>
    <w:p w14:paraId="15B3A1A9">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日常检查分明查和暗查等形式，街道办在日常检查中，发现问题督促市场化企业落实整改。对市民投诉、12345 热线、城管信息中心等反映问题，街办督促市场化企业整改并回复上报。街办对市场化企业作业情况进行日常检查考核。 </w:t>
      </w:r>
    </w:p>
    <w:p w14:paraId="566C5BCE">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2、集中检查 </w:t>
      </w:r>
    </w:p>
    <w:p w14:paraId="0CDF73E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集中检查，每月不少于两次检查，同时结合市局月检查、 重大活动线路保障检查等检查情况汇总为月考核结果。 </w:t>
      </w:r>
    </w:p>
    <w:p w14:paraId="7F98D94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3、考核计分 </w:t>
      </w:r>
    </w:p>
    <w:p w14:paraId="73E608E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每月考评分采用百分制(见附件）。 </w:t>
      </w:r>
    </w:p>
    <w:p w14:paraId="5BD07A7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4、扣费标准 </w:t>
      </w:r>
    </w:p>
    <w:p w14:paraId="24B55E2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(1)每月考评分值 100 分，≥95分为达标，当月保洁经费不扣减。当月成绩每低于达标分1分，扣除当月清扫保洁经费的1%。 </w:t>
      </w:r>
    </w:p>
    <w:p w14:paraId="52F41C9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(2)有焚烧落叶、人员严重缺失、保洁质量差等情况，被市区主管部门、上级单位或媒体通报批评的每次扣除500元。 同一问题连续出现两次以上的，每次扣除1000元。 </w:t>
      </w:r>
    </w:p>
    <w:p w14:paraId="68611DBE">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(二)年度综合考核 </w:t>
      </w:r>
    </w:p>
    <w:p w14:paraId="1E6AE16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年度综合考核，由平时考核和年末考核两部分组成。平时考核(包括：月考核、重大活动保障等内容的年平均值),加权90%计入；年末考核(年末考核以集中检查为主)分值，加权10%计入。 </w:t>
      </w:r>
    </w:p>
    <w:p w14:paraId="4290C116">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 xml:space="preserve">三、检查要求 </w:t>
      </w:r>
    </w:p>
    <w:p w14:paraId="40AACF3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(一)检查人员应将检查存在问题如实、详细、准确记录在统一制式检查表格上。对检查存在问题及时反馈、督促市场化企业立即整改，并应以书面和拍照/摄像等方式进行详细记录，相关资料做好存档，至少保存1 年。将整改及复查情况纳入当月最终考评结果。 </w:t>
      </w:r>
    </w:p>
    <w:p w14:paraId="0CA60BA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(二)对市、区督查、12345 数字城管平台、新闻媒体(包括报社、省市电视台)曝光及社区居民、群众举报、市区领导交办存在问题，将检查结果备录存档，按考核评分标准，进行打分。</w:t>
      </w:r>
    </w:p>
    <w:p w14:paraId="653D703E">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 xml:space="preserve">四、退出机制 </w:t>
      </w:r>
    </w:p>
    <w:p w14:paraId="21043C1E">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出现下列情况之一，街办有权解除市场化企业合同服务： </w:t>
      </w:r>
    </w:p>
    <w:p w14:paraId="687183D2">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(一)对月考核在 70 分以下(含 70 分)的、 一年内连续 2 次月考核在85 分以下 的、 一年内累计有 3 次月考核在 85 分以下的。 </w:t>
      </w:r>
    </w:p>
    <w:p w14:paraId="11342CF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(二)不能按时足额发放保洁员工资及各类福利待遇的；无故克扣或拖欠保洁员工资各类福利待遇的，经书面警告不能 及时补发改正的；不能按照要求及时办理保洁员社会保险的。 </w:t>
      </w:r>
    </w:p>
    <w:p w14:paraId="77A5300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(三)在日常工作、迎接检查和活动保障中出现重大失误 (市、区领导点名批评，或问责区城管局主要领导等)1 次，造成严重负面影响的。 </w:t>
      </w:r>
    </w:p>
    <w:p w14:paraId="33CCD92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(四)工作存在严重纰漏，被媒体曝光(每日聚焦、政风 行风热线、电视问政等)2 次，造成严重负面影响的。 </w:t>
      </w:r>
    </w:p>
    <w:p w14:paraId="2CA65D1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(五)出现群体性事件应对不力，造成严重负面影响的。</w:t>
      </w:r>
    </w:p>
    <w:p w14:paraId="48C64A41">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 xml:space="preserve">五、其他事项 </w:t>
      </w:r>
    </w:p>
    <w:p w14:paraId="0E58356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(一)市场化企业有义务，且应积极按时参加街办召开的清扫保洁相关业务 </w:t>
      </w:r>
    </w:p>
    <w:p w14:paraId="72B990C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工作会议，领会会议精神，积极推进各项道路保洁工作。 </w:t>
      </w:r>
    </w:p>
    <w:p w14:paraId="280601C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(二)市场化企业应确保和街办的联系畅通。市场化企业必须对各级各类通报、曝光的问题坚持“事不过夜、马上就办”的原则进行整改，并将整改结果报街办。 </w:t>
      </w:r>
    </w:p>
    <w:p w14:paraId="1E38A65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(三)如上级部门出台工作新内容、新标准或调整对各区县考核办法，甲方有权及时将新 内容、新标准及新要求纳入市场化道路保洁考核之中。 </w:t>
      </w:r>
    </w:p>
    <w:p w14:paraId="787C1C69">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附件：保洁质量检查表</w:t>
      </w:r>
    </w:p>
    <w:p w14:paraId="7460D39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pPr>
    </w:p>
    <w:p w14:paraId="171AEAF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14:textFill>
            <w14:solidFill>
              <w14:schemeClr w14:val="tx1"/>
            </w14:solidFill>
          </w14:textFill>
        </w:rPr>
        <w:sectPr>
          <w:pgSz w:w="11906" w:h="16838"/>
          <w:pgMar w:top="1276" w:right="1672" w:bottom="1276" w:left="1672" w:header="851" w:footer="992" w:gutter="0"/>
          <w:cols w:space="425" w:num="1"/>
          <w:docGrid w:type="lines" w:linePitch="312" w:charSpace="0"/>
        </w:sectPr>
      </w:pPr>
    </w:p>
    <w:p w14:paraId="25869EAD">
      <w:pPr>
        <w:pStyle w:val="6"/>
        <w:ind w:left="0" w:leftChars="0" w:firstLine="0" w:firstLineChars="0"/>
        <w:jc w:val="center"/>
        <w:rPr>
          <w:rFonts w:ascii="宋体" w:hAnsi="宋体" w:eastAsia="宋体" w:cs="宋体"/>
          <w:b/>
          <w:bCs/>
          <w:color w:val="000000" w:themeColor="text1"/>
          <w:spacing w:val="-1"/>
          <w:sz w:val="24"/>
          <w:szCs w:val="24"/>
          <w:highlight w:val="none"/>
          <w14:textFill>
            <w14:solidFill>
              <w14:schemeClr w14:val="tx1"/>
            </w14:solidFill>
          </w14:textFill>
        </w:rPr>
      </w:pPr>
      <w:r>
        <w:rPr>
          <w:rFonts w:ascii="宋体" w:hAnsi="宋体" w:eastAsia="宋体" w:cs="宋体"/>
          <w:b/>
          <w:bCs/>
          <w:color w:val="000000" w:themeColor="text1"/>
          <w:spacing w:val="-1"/>
          <w:sz w:val="24"/>
          <w:szCs w:val="24"/>
          <w:highlight w:val="none"/>
          <w14:textFill>
            <w14:solidFill>
              <w14:schemeClr w14:val="tx1"/>
            </w14:solidFill>
          </w14:textFill>
        </w:rPr>
        <w:t>道路保洁质量检查表</w:t>
      </w:r>
    </w:p>
    <w:tbl>
      <w:tblPr>
        <w:tblStyle w:val="10"/>
        <w:tblW w:w="151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3"/>
        <w:gridCol w:w="1254"/>
        <w:gridCol w:w="5165"/>
        <w:gridCol w:w="769"/>
        <w:gridCol w:w="4657"/>
        <w:gridCol w:w="1122"/>
        <w:gridCol w:w="704"/>
        <w:gridCol w:w="763"/>
      </w:tblGrid>
      <w:tr w14:paraId="4B957E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0" w:hRule="atLeast"/>
          <w:jc w:val="center"/>
        </w:trPr>
        <w:tc>
          <w:tcPr>
            <w:tcW w:w="723" w:type="dxa"/>
            <w:textDirection w:val="tbRlV"/>
            <w:vAlign w:val="center"/>
          </w:tcPr>
          <w:p w14:paraId="29C5ADDF">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序 号</w:t>
            </w:r>
          </w:p>
        </w:tc>
        <w:tc>
          <w:tcPr>
            <w:tcW w:w="1254" w:type="dxa"/>
            <w:vAlign w:val="center"/>
          </w:tcPr>
          <w:p w14:paraId="2D8CBFF9">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p>
          <w:p w14:paraId="7EF8A8C3">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检查项目</w:t>
            </w:r>
          </w:p>
        </w:tc>
        <w:tc>
          <w:tcPr>
            <w:tcW w:w="5165" w:type="dxa"/>
            <w:vAlign w:val="center"/>
          </w:tcPr>
          <w:p w14:paraId="4FF6DD15">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p>
          <w:p w14:paraId="17474B59">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管理作业标准</w:t>
            </w:r>
          </w:p>
        </w:tc>
        <w:tc>
          <w:tcPr>
            <w:tcW w:w="769" w:type="dxa"/>
            <w:vAlign w:val="center"/>
          </w:tcPr>
          <w:p w14:paraId="185F0FD4">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p>
          <w:p w14:paraId="5FE90160">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分值</w:t>
            </w:r>
          </w:p>
        </w:tc>
        <w:tc>
          <w:tcPr>
            <w:tcW w:w="4657" w:type="dxa"/>
            <w:vAlign w:val="center"/>
          </w:tcPr>
          <w:p w14:paraId="37609446">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p>
          <w:p w14:paraId="63859215">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评分标准</w:t>
            </w:r>
          </w:p>
        </w:tc>
        <w:tc>
          <w:tcPr>
            <w:tcW w:w="1122" w:type="dxa"/>
            <w:vAlign w:val="center"/>
          </w:tcPr>
          <w:p w14:paraId="705FEEF5">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p>
          <w:p w14:paraId="7C8FF3D8">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存在问题</w:t>
            </w:r>
          </w:p>
        </w:tc>
        <w:tc>
          <w:tcPr>
            <w:tcW w:w="704" w:type="dxa"/>
            <w:textDirection w:val="tbRlV"/>
            <w:vAlign w:val="center"/>
          </w:tcPr>
          <w:p w14:paraId="3AE91F7B">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扣 分</w:t>
            </w:r>
          </w:p>
        </w:tc>
        <w:tc>
          <w:tcPr>
            <w:tcW w:w="763" w:type="dxa"/>
            <w:textDirection w:val="tbRlV"/>
            <w:vAlign w:val="center"/>
          </w:tcPr>
          <w:p w14:paraId="2466BDD6">
            <w:pPr>
              <w:kinsoku w:val="0"/>
              <w:autoSpaceDE w:val="0"/>
              <w:autoSpaceDN w:val="0"/>
              <w:adjustRightInd w:val="0"/>
              <w:snapToGrid w:val="0"/>
              <w:spacing w:before="65" w:line="228" w:lineRule="auto"/>
              <w:jc w:val="center"/>
              <w:textAlignment w:val="baseline"/>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得 分</w:t>
            </w:r>
          </w:p>
        </w:tc>
      </w:tr>
      <w:tr w14:paraId="5347D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723" w:type="dxa"/>
            <w:vMerge w:val="restart"/>
            <w:tcBorders>
              <w:bottom w:val="nil"/>
            </w:tcBorders>
            <w:vAlign w:val="center"/>
          </w:tcPr>
          <w:p w14:paraId="63FC0924">
            <w:pPr>
              <w:kinsoku w:val="0"/>
              <w:autoSpaceDE w:val="0"/>
              <w:autoSpaceDN w:val="0"/>
              <w:adjustRightInd w:val="0"/>
              <w:snapToGrid w:val="0"/>
              <w:spacing w:before="65" w:line="270" w:lineRule="exact"/>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1</w:t>
            </w:r>
          </w:p>
        </w:tc>
        <w:tc>
          <w:tcPr>
            <w:tcW w:w="1254" w:type="dxa"/>
            <w:vMerge w:val="restart"/>
            <w:tcBorders>
              <w:bottom w:val="nil"/>
            </w:tcBorders>
            <w:vAlign w:val="center"/>
          </w:tcPr>
          <w:p w14:paraId="25285292">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清扫保洁</w:t>
            </w:r>
          </w:p>
          <w:p w14:paraId="1D552599">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质量</w:t>
            </w:r>
          </w:p>
          <w:p w14:paraId="49199653">
            <w:pPr>
              <w:keepNext w:val="0"/>
              <w:keepLines w:val="0"/>
              <w:pageBreakBefore w:val="0"/>
              <w:widowControl w:val="0"/>
              <w:wordWrap/>
              <w:overflowPunct/>
              <w:topLinePunct w:val="0"/>
              <w:bidi w:val="0"/>
              <w:spacing w:line="240" w:lineRule="auto"/>
              <w:jc w:val="cente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(30分)</w:t>
            </w:r>
          </w:p>
        </w:tc>
        <w:tc>
          <w:tcPr>
            <w:tcW w:w="5165" w:type="dxa"/>
            <w:vAlign w:val="center"/>
          </w:tcPr>
          <w:p w14:paraId="31A3547D">
            <w:pPr>
              <w:kinsoku w:val="0"/>
              <w:autoSpaceDE w:val="0"/>
              <w:autoSpaceDN w:val="0"/>
              <w:adjustRightInd w:val="0"/>
              <w:snapToGrid w:val="0"/>
              <w:spacing w:before="24" w:line="228" w:lineRule="auto"/>
              <w:ind w:left="111" w:hanging="2"/>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春夏季早“普扫 ”6:30 前完成，秋冬季早“普扫 ”7 : 00 前完成。重点地区道路每日保洁至晚24 :00 结束 ，其他道路春夏季每日 保洁至晚22:00,秋冬季每日保洁至晚21:00 结束。</w:t>
            </w:r>
          </w:p>
        </w:tc>
        <w:tc>
          <w:tcPr>
            <w:tcW w:w="769" w:type="dxa"/>
            <w:vAlign w:val="center"/>
          </w:tcPr>
          <w:p w14:paraId="1EFF6524">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6分</w:t>
            </w:r>
          </w:p>
        </w:tc>
        <w:tc>
          <w:tcPr>
            <w:tcW w:w="4657" w:type="dxa"/>
            <w:vAlign w:val="center"/>
          </w:tcPr>
          <w:p w14:paraId="4529B1C4">
            <w:pPr>
              <w:kinsoku w:val="0"/>
              <w:autoSpaceDE w:val="0"/>
              <w:autoSpaceDN w:val="0"/>
              <w:adjustRightInd w:val="0"/>
              <w:snapToGrid w:val="0"/>
              <w:spacing w:before="65" w:line="226" w:lineRule="auto"/>
              <w:ind w:right="75"/>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未在规定时</w:t>
            </w:r>
            <w:r>
              <w:rPr>
                <w:rFonts w:hint="eastAsia" w:ascii="宋体" w:hAnsi="宋体" w:cs="宋体"/>
                <w:snapToGrid w:val="0"/>
                <w:color w:val="000000" w:themeColor="text1"/>
                <w:spacing w:val="0"/>
                <w:kern w:val="0"/>
                <w:position w:val="0"/>
                <w:sz w:val="21"/>
                <w:szCs w:val="21"/>
                <w:highlight w:val="none"/>
                <w:lang w:val="en-US" w:eastAsia="zh-CN" w:bidi="ar-SA"/>
                <w14:textFill>
                  <w14:solidFill>
                    <w14:schemeClr w14:val="tx1"/>
                  </w14:solidFill>
                </w14:textFill>
              </w:rPr>
              <w:t>间</w:t>
            </w: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内  完成普扫的，每条道路扣1分，整条道路未普扫扣3分。</w:t>
            </w:r>
          </w:p>
        </w:tc>
        <w:tc>
          <w:tcPr>
            <w:tcW w:w="1122" w:type="dxa"/>
            <w:vAlign w:val="center"/>
          </w:tcPr>
          <w:p w14:paraId="712A4B07">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5E412858">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6322A829">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5DF3C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9" w:hRule="atLeast"/>
          <w:jc w:val="center"/>
        </w:trPr>
        <w:tc>
          <w:tcPr>
            <w:tcW w:w="723" w:type="dxa"/>
            <w:vMerge w:val="continue"/>
            <w:tcBorders>
              <w:top w:val="nil"/>
              <w:bottom w:val="nil"/>
            </w:tcBorders>
            <w:vAlign w:val="center"/>
          </w:tcPr>
          <w:p w14:paraId="5421638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1254" w:type="dxa"/>
            <w:vMerge w:val="continue"/>
            <w:tcBorders>
              <w:top w:val="nil"/>
              <w:bottom w:val="nil"/>
            </w:tcBorders>
            <w:vAlign w:val="center"/>
          </w:tcPr>
          <w:p w14:paraId="70CC02E0">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5165" w:type="dxa"/>
            <w:vAlign w:val="center"/>
          </w:tcPr>
          <w:p w14:paraId="75E7FA84">
            <w:pPr>
              <w:kinsoku w:val="0"/>
              <w:autoSpaceDE w:val="0"/>
              <w:autoSpaceDN w:val="0"/>
              <w:adjustRightInd w:val="0"/>
              <w:snapToGrid w:val="0"/>
              <w:spacing w:before="65" w:line="226" w:lineRule="auto"/>
              <w:ind w:right="75"/>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道路、街巷清扫保洁范围内路牙净、无淤泥、无明显沙砾，无垃圾杂物， 无卫生死角或其他零星垃圾(建筑垃  圾、装修垃圾)等，道路无积水。 电杆、雨水井口、树穴、 隔离墩周围清扫保洁及时，不堵塞。机动车抛洒 物 及时清理干净。道路冲洗应达到路面见本色， 无污渍。</w:t>
            </w:r>
          </w:p>
        </w:tc>
        <w:tc>
          <w:tcPr>
            <w:tcW w:w="769" w:type="dxa"/>
            <w:vAlign w:val="center"/>
          </w:tcPr>
          <w:p w14:paraId="766E81EB">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6分</w:t>
            </w:r>
          </w:p>
        </w:tc>
        <w:tc>
          <w:tcPr>
            <w:tcW w:w="4657" w:type="dxa"/>
            <w:vAlign w:val="center"/>
          </w:tcPr>
          <w:p w14:paraId="64E4F9B2">
            <w:pPr>
              <w:kinsoku w:val="0"/>
              <w:autoSpaceDE w:val="0"/>
              <w:autoSpaceDN w:val="0"/>
              <w:adjustRightInd w:val="0"/>
              <w:snapToGrid w:val="0"/>
              <w:spacing w:before="65" w:line="226" w:lineRule="auto"/>
              <w:ind w:right="75"/>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道路清扫不干净， 有浮土、污泥 、污水、白色垃圾的，每处扣 0.2 分；路面油污每处扣 0.5 分 ：卫生死角每处扣1分。电杆、隔离墩周围清扫保洁不及时的，每发现一处扣 0.3 分；树穴、雨水井口堆放垃圾杂物的 ，每处扣 0.5 分。机动车抛洒物未及时清理的，每发现1处扣 0.3 分 。道路冲洗不到位，每处扣 0.5分：</w:t>
            </w:r>
          </w:p>
        </w:tc>
        <w:tc>
          <w:tcPr>
            <w:tcW w:w="1122" w:type="dxa"/>
            <w:vAlign w:val="center"/>
          </w:tcPr>
          <w:p w14:paraId="22EAF2D6">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6BC2741D">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4977BAA1">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447D15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7" w:hRule="atLeast"/>
          <w:jc w:val="center"/>
        </w:trPr>
        <w:tc>
          <w:tcPr>
            <w:tcW w:w="723" w:type="dxa"/>
            <w:vMerge w:val="restart"/>
            <w:tcBorders>
              <w:bottom w:val="nil"/>
            </w:tcBorders>
            <w:vAlign w:val="center"/>
          </w:tcPr>
          <w:p w14:paraId="451F071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1254" w:type="dxa"/>
            <w:vMerge w:val="restart"/>
            <w:tcBorders>
              <w:bottom w:val="nil"/>
            </w:tcBorders>
            <w:vAlign w:val="center"/>
          </w:tcPr>
          <w:p w14:paraId="3A33DCB8">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5165" w:type="dxa"/>
            <w:vAlign w:val="center"/>
          </w:tcPr>
          <w:p w14:paraId="1DAD785B">
            <w:pPr>
              <w:kinsoku w:val="0"/>
              <w:autoSpaceDE w:val="0"/>
              <w:autoSpaceDN w:val="0"/>
              <w:adjustRightInd w:val="0"/>
              <w:snapToGrid w:val="0"/>
              <w:spacing w:before="16" w:line="212" w:lineRule="auto"/>
              <w:ind w:left="100" w:firstLine="3"/>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一级道路地面尘土每平方米重量不超过5 克，垃圾 路面滞留时间不超过 5 分 钟二、三级道路地面尘土每平方米重量不超过5 克， 垃圾路面滞留时间不超过5分钟。</w:t>
            </w:r>
          </w:p>
        </w:tc>
        <w:tc>
          <w:tcPr>
            <w:tcW w:w="769" w:type="dxa"/>
            <w:vAlign w:val="center"/>
          </w:tcPr>
          <w:p w14:paraId="160EDC74">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zh-CN" w:bidi="ar-SA"/>
                <w14:textFill>
                  <w14:solidFill>
                    <w14:schemeClr w14:val="tx1"/>
                  </w14:solidFill>
                </w14:textFill>
              </w:rPr>
              <w:t>10</w:t>
            </w: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分</w:t>
            </w:r>
          </w:p>
        </w:tc>
        <w:tc>
          <w:tcPr>
            <w:tcW w:w="4657" w:type="dxa"/>
            <w:vAlign w:val="center"/>
          </w:tcPr>
          <w:p w14:paraId="684EFD95">
            <w:pPr>
              <w:kinsoku w:val="0"/>
              <w:autoSpaceDE w:val="0"/>
              <w:autoSpaceDN w:val="0"/>
              <w:adjustRightInd w:val="0"/>
              <w:snapToGrid w:val="0"/>
              <w:spacing w:before="300" w:line="228" w:lineRule="auto"/>
              <w:ind w:right="273"/>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尘土重量每平方米超出1克扣 0.3 分，垃圾滞留时间每超过1 分钟扣 0.4 分。</w:t>
            </w:r>
          </w:p>
        </w:tc>
        <w:tc>
          <w:tcPr>
            <w:tcW w:w="1122" w:type="dxa"/>
            <w:vAlign w:val="center"/>
          </w:tcPr>
          <w:p w14:paraId="0C5264A9">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5FCF23F1">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2C52FE7C">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6F50F6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jc w:val="center"/>
        </w:trPr>
        <w:tc>
          <w:tcPr>
            <w:tcW w:w="723" w:type="dxa"/>
            <w:vMerge w:val="continue"/>
            <w:tcBorders>
              <w:top w:val="nil"/>
              <w:bottom w:val="nil"/>
            </w:tcBorders>
            <w:vAlign w:val="center"/>
          </w:tcPr>
          <w:p w14:paraId="7E543927">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1254" w:type="dxa"/>
            <w:vMerge w:val="continue"/>
            <w:tcBorders>
              <w:top w:val="nil"/>
              <w:bottom w:val="nil"/>
            </w:tcBorders>
            <w:vAlign w:val="center"/>
          </w:tcPr>
          <w:p w14:paraId="052437E4">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5165" w:type="dxa"/>
            <w:vAlign w:val="center"/>
          </w:tcPr>
          <w:p w14:paraId="01458F33">
            <w:pPr>
              <w:kinsoku w:val="0"/>
              <w:autoSpaceDE w:val="0"/>
              <w:autoSpaceDN w:val="0"/>
              <w:adjustRightInd w:val="0"/>
              <w:snapToGrid w:val="0"/>
              <w:spacing w:before="65" w:line="234" w:lineRule="auto"/>
              <w:ind w:right="2"/>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雨雪天气后，及时清理车行道、人行道、道沿下积水、 泥沙、积雪。</w:t>
            </w:r>
          </w:p>
        </w:tc>
        <w:tc>
          <w:tcPr>
            <w:tcW w:w="769" w:type="dxa"/>
            <w:vAlign w:val="center"/>
          </w:tcPr>
          <w:p w14:paraId="300F578A">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3分</w:t>
            </w:r>
          </w:p>
        </w:tc>
        <w:tc>
          <w:tcPr>
            <w:tcW w:w="4657" w:type="dxa"/>
            <w:vAlign w:val="center"/>
          </w:tcPr>
          <w:p w14:paraId="548C1D4D">
            <w:pPr>
              <w:kinsoku w:val="0"/>
              <w:autoSpaceDE w:val="0"/>
              <w:autoSpaceDN w:val="0"/>
              <w:adjustRightInd w:val="0"/>
              <w:snapToGrid w:val="0"/>
              <w:spacing w:before="19" w:line="223" w:lineRule="auto"/>
              <w:ind w:left="8" w:right="22" w:firstLine="8"/>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雨雪天气后，车行道、人行道、道沿下泥沙、积雪清理未按规定及时清理的，每发现一处扣 0.3 分。</w:t>
            </w:r>
          </w:p>
        </w:tc>
        <w:tc>
          <w:tcPr>
            <w:tcW w:w="1122" w:type="dxa"/>
            <w:vAlign w:val="center"/>
          </w:tcPr>
          <w:p w14:paraId="3AD6E576">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769E4EAC">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68E97702">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2A5568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jc w:val="center"/>
        </w:trPr>
        <w:tc>
          <w:tcPr>
            <w:tcW w:w="723" w:type="dxa"/>
            <w:vMerge w:val="continue"/>
            <w:tcBorders>
              <w:top w:val="nil"/>
            </w:tcBorders>
            <w:vAlign w:val="center"/>
          </w:tcPr>
          <w:p w14:paraId="6F2CFE75">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1254" w:type="dxa"/>
            <w:vMerge w:val="continue"/>
            <w:tcBorders>
              <w:top w:val="nil"/>
            </w:tcBorders>
            <w:vAlign w:val="center"/>
          </w:tcPr>
          <w:p w14:paraId="18E763B2">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5165" w:type="dxa"/>
            <w:vAlign w:val="center"/>
          </w:tcPr>
          <w:p w14:paraId="74E32BF5">
            <w:pPr>
              <w:kinsoku w:val="0"/>
              <w:autoSpaceDE w:val="0"/>
              <w:autoSpaceDN w:val="0"/>
              <w:adjustRightInd w:val="0"/>
              <w:snapToGrid w:val="0"/>
              <w:spacing w:before="65" w:line="226"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野广告及时清理、覆盖。</w:t>
            </w:r>
          </w:p>
        </w:tc>
        <w:tc>
          <w:tcPr>
            <w:tcW w:w="769" w:type="dxa"/>
            <w:vAlign w:val="center"/>
          </w:tcPr>
          <w:p w14:paraId="19E63469">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2分</w:t>
            </w:r>
          </w:p>
        </w:tc>
        <w:tc>
          <w:tcPr>
            <w:tcW w:w="4657" w:type="dxa"/>
            <w:vAlign w:val="center"/>
          </w:tcPr>
          <w:p w14:paraId="3552890A">
            <w:pPr>
              <w:kinsoku w:val="0"/>
              <w:autoSpaceDE w:val="0"/>
              <w:autoSpaceDN w:val="0"/>
              <w:adjustRightInd w:val="0"/>
              <w:snapToGrid w:val="0"/>
              <w:spacing w:before="14" w:line="222" w:lineRule="auto"/>
              <w:ind w:left="12" w:right="3" w:hanging="3"/>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野广告未清理或清理不彻底、未覆盖的每处扣0.2 分。</w:t>
            </w:r>
          </w:p>
        </w:tc>
        <w:tc>
          <w:tcPr>
            <w:tcW w:w="1122" w:type="dxa"/>
            <w:vAlign w:val="center"/>
          </w:tcPr>
          <w:p w14:paraId="1E9041F3">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60EE48E9">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3C69C464">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5C22C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4" w:hRule="atLeast"/>
          <w:jc w:val="center"/>
        </w:trPr>
        <w:tc>
          <w:tcPr>
            <w:tcW w:w="723" w:type="dxa"/>
            <w:vAlign w:val="center"/>
          </w:tcPr>
          <w:p w14:paraId="56B42449">
            <w:pPr>
              <w:kinsoku w:val="0"/>
              <w:autoSpaceDE w:val="0"/>
              <w:autoSpaceDN w:val="0"/>
              <w:adjustRightInd w:val="0"/>
              <w:snapToGrid w:val="0"/>
              <w:spacing w:before="65" w:line="270" w:lineRule="exact"/>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2</w:t>
            </w:r>
          </w:p>
        </w:tc>
        <w:tc>
          <w:tcPr>
            <w:tcW w:w="1254" w:type="dxa"/>
            <w:vAlign w:val="center"/>
          </w:tcPr>
          <w:p w14:paraId="0103C609">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机械化作业</w:t>
            </w:r>
          </w:p>
          <w:p w14:paraId="283961D9">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(10分)</w:t>
            </w:r>
          </w:p>
        </w:tc>
        <w:tc>
          <w:tcPr>
            <w:tcW w:w="5165" w:type="dxa"/>
            <w:vAlign w:val="center"/>
          </w:tcPr>
          <w:p w14:paraId="1AAB6F15">
            <w:pPr>
              <w:kinsoku w:val="0"/>
              <w:autoSpaceDE w:val="0"/>
              <w:autoSpaceDN w:val="0"/>
              <w:adjustRightInd w:val="0"/>
              <w:snapToGrid w:val="0"/>
              <w:spacing w:before="290" w:line="233" w:lineRule="auto"/>
              <w:ind w:right="45"/>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机扫车、吸尘车、洒水 车等车辆作业全区域覆盖， 规范作业。作业后道路干净卫生，无积水、见本色。每日车辆出勤率达标。</w:t>
            </w:r>
          </w:p>
        </w:tc>
        <w:tc>
          <w:tcPr>
            <w:tcW w:w="769" w:type="dxa"/>
            <w:vAlign w:val="center"/>
          </w:tcPr>
          <w:p w14:paraId="70111D08">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10分</w:t>
            </w:r>
          </w:p>
        </w:tc>
        <w:tc>
          <w:tcPr>
            <w:tcW w:w="4657" w:type="dxa"/>
            <w:vAlign w:val="center"/>
          </w:tcPr>
          <w:p w14:paraId="072B742E">
            <w:pPr>
              <w:kinsoku w:val="0"/>
              <w:autoSpaceDE w:val="0"/>
              <w:autoSpaceDN w:val="0"/>
              <w:adjustRightInd w:val="0"/>
              <w:snapToGrid w:val="0"/>
              <w:spacing w:before="12" w:line="212" w:lineRule="auto"/>
              <w:ind w:left="9" w:hanging="1"/>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道路冲洗不到位尘土明显，每处扣 0.5 分；道沿石未见本色，每处扣 0.5 分；机扫车、 吸尘车、洒水车等车辆每月出勤率未达标，扣 5 分。</w:t>
            </w:r>
          </w:p>
        </w:tc>
        <w:tc>
          <w:tcPr>
            <w:tcW w:w="1122" w:type="dxa"/>
            <w:vAlign w:val="center"/>
          </w:tcPr>
          <w:p w14:paraId="67B85D9C">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4A943E15">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7EED6CBA">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7471F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4" w:hRule="atLeast"/>
          <w:jc w:val="center"/>
        </w:trPr>
        <w:tc>
          <w:tcPr>
            <w:tcW w:w="723" w:type="dxa"/>
            <w:vAlign w:val="center"/>
          </w:tcPr>
          <w:p w14:paraId="6489A60D">
            <w:pPr>
              <w:kinsoku w:val="0"/>
              <w:autoSpaceDE w:val="0"/>
              <w:autoSpaceDN w:val="0"/>
              <w:adjustRightInd w:val="0"/>
              <w:snapToGrid w:val="0"/>
              <w:spacing w:before="65" w:line="269" w:lineRule="exact"/>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3</w:t>
            </w:r>
          </w:p>
        </w:tc>
        <w:tc>
          <w:tcPr>
            <w:tcW w:w="1254" w:type="dxa"/>
            <w:vAlign w:val="center"/>
          </w:tcPr>
          <w:p w14:paraId="2A70D520">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环卫设施</w:t>
            </w:r>
          </w:p>
          <w:p w14:paraId="420735F7">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管护</w:t>
            </w:r>
          </w:p>
          <w:p w14:paraId="2BE2080A">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 xml:space="preserve"> (10分)</w:t>
            </w:r>
          </w:p>
        </w:tc>
        <w:tc>
          <w:tcPr>
            <w:tcW w:w="5165" w:type="dxa"/>
            <w:vAlign w:val="center"/>
          </w:tcPr>
          <w:p w14:paraId="02C7DD55">
            <w:pPr>
              <w:kinsoku w:val="0"/>
              <w:autoSpaceDE w:val="0"/>
              <w:autoSpaceDN w:val="0"/>
              <w:adjustRightInd w:val="0"/>
              <w:snapToGrid w:val="0"/>
              <w:spacing w:before="65" w:line="225" w:lineRule="auto"/>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工具箱、果皮箱、道班房日常管护到位，每日擦洗。 果皮箱无歪斜、无破损 ，箱体干净整洁；及时清掏，无暴露垃圾、无垃圾满溢现象， 日产日清；果皮箱下干净无 污渍。工具箱设置规范，不占压盲道；箱体干净整洁， 不得放置无关物品；保洁工具存放整齐，不得在工具箱 外随意放置。道班房内外卫 生干净，屋内设施配备完善，秩序良好。</w:t>
            </w:r>
          </w:p>
          <w:p w14:paraId="1765C9BE">
            <w:pPr>
              <w:kinsoku w:val="0"/>
              <w:autoSpaceDE w:val="0"/>
              <w:autoSpaceDN w:val="0"/>
              <w:adjustRightInd w:val="0"/>
              <w:snapToGrid w:val="0"/>
              <w:spacing w:before="9" w:line="241" w:lineRule="auto"/>
              <w:ind w:left="11" w:right="338" w:hanging="2"/>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其它城市家具干净整洁，定期擦洗管护。</w:t>
            </w:r>
          </w:p>
        </w:tc>
        <w:tc>
          <w:tcPr>
            <w:tcW w:w="769" w:type="dxa"/>
            <w:vAlign w:val="center"/>
          </w:tcPr>
          <w:p w14:paraId="1FDD456E">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10分</w:t>
            </w:r>
          </w:p>
        </w:tc>
        <w:tc>
          <w:tcPr>
            <w:tcW w:w="4657" w:type="dxa"/>
            <w:vAlign w:val="center"/>
          </w:tcPr>
          <w:p w14:paraId="211D755E">
            <w:pPr>
              <w:kinsoku w:val="0"/>
              <w:autoSpaceDE w:val="0"/>
              <w:autoSpaceDN w:val="0"/>
              <w:adjustRightInd w:val="0"/>
              <w:snapToGrid w:val="0"/>
              <w:spacing w:before="29" w:line="227" w:lineRule="auto"/>
              <w:ind w:left="8" w:firstLine="3"/>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工具箱 、果皮箱 、 道班房等每日未擦洗 ， 扣1分。果皮箱歪斜、 箱体不洁每处扣0.5分；果皮箱残缺每个扣 0.3 分。果皮箱清 掏不及时、垃圾暴露的每处 扣 0.5 分 ， 垃圾落地每 处扣1分。晚上保洁结束前垃圾容器内垃圾超过70%,未做到垃圾日产日清的 每处扣1分。果皮箱下有污渍的每处扣 0.5 分。保洁工具箱灰尘大，每处扣 0.5 分 ，保洁工具 随意放置，每处扣 0.5 分 ； 破损一个扣 0.5 分。道  班房设施 缺失、内外卫生秩序脏乱 ，每处扣 1 分。 其它城市家具卫生不洁、未定期擦洗管 护，每处扣 0.5 分。</w:t>
            </w:r>
          </w:p>
        </w:tc>
        <w:tc>
          <w:tcPr>
            <w:tcW w:w="1122" w:type="dxa"/>
            <w:vAlign w:val="center"/>
          </w:tcPr>
          <w:p w14:paraId="5FDD002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499F750E">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45734DB6">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2E8DD2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5" w:hRule="atLeast"/>
          <w:jc w:val="center"/>
        </w:trPr>
        <w:tc>
          <w:tcPr>
            <w:tcW w:w="723" w:type="dxa"/>
            <w:vMerge w:val="restart"/>
            <w:tcBorders>
              <w:bottom w:val="nil"/>
            </w:tcBorders>
            <w:vAlign w:val="center"/>
          </w:tcPr>
          <w:p w14:paraId="57504BB0">
            <w:pPr>
              <w:kinsoku w:val="0"/>
              <w:autoSpaceDE w:val="0"/>
              <w:autoSpaceDN w:val="0"/>
              <w:adjustRightInd w:val="0"/>
              <w:snapToGrid w:val="0"/>
              <w:spacing w:before="65" w:line="270" w:lineRule="exact"/>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4</w:t>
            </w:r>
          </w:p>
        </w:tc>
        <w:tc>
          <w:tcPr>
            <w:tcW w:w="1254" w:type="dxa"/>
            <w:vMerge w:val="restart"/>
            <w:tcBorders>
              <w:bottom w:val="nil"/>
            </w:tcBorders>
            <w:vAlign w:val="center"/>
          </w:tcPr>
          <w:p w14:paraId="62FE67D6">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作业规范</w:t>
            </w:r>
          </w:p>
          <w:p w14:paraId="08335795">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执行</w:t>
            </w:r>
          </w:p>
          <w:p w14:paraId="54DA4D28">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 xml:space="preserve"> (20分)</w:t>
            </w:r>
          </w:p>
        </w:tc>
        <w:tc>
          <w:tcPr>
            <w:tcW w:w="5165" w:type="dxa"/>
            <w:vAlign w:val="center"/>
          </w:tcPr>
          <w:p w14:paraId="3A4C844C">
            <w:pPr>
              <w:kinsoku w:val="0"/>
              <w:autoSpaceDE w:val="0"/>
              <w:autoSpaceDN w:val="0"/>
              <w:adjustRightInd w:val="0"/>
              <w:snapToGrid w:val="0"/>
              <w:spacing w:before="65" w:line="227" w:lineRule="auto"/>
              <w:ind w:right="60"/>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保洁作业时不得漏扫， 清扫保洁后的垃圾堆及时清理，禁止往雨水口、绿地及其它公共设施中倾倒。 禁止焚烧垃圾、树叶及杂物。清扫保洁后的垃圾， 必须用垃圾收集车运至垃圾中转站。</w:t>
            </w:r>
          </w:p>
        </w:tc>
        <w:tc>
          <w:tcPr>
            <w:tcW w:w="769" w:type="dxa"/>
            <w:vAlign w:val="center"/>
          </w:tcPr>
          <w:p w14:paraId="350B1A4C">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6分</w:t>
            </w:r>
          </w:p>
        </w:tc>
        <w:tc>
          <w:tcPr>
            <w:tcW w:w="4657" w:type="dxa"/>
            <w:vAlign w:val="center"/>
          </w:tcPr>
          <w:p w14:paraId="4BB4383F">
            <w:pPr>
              <w:kinsoku w:val="0"/>
              <w:autoSpaceDE w:val="0"/>
              <w:autoSpaceDN w:val="0"/>
              <w:adjustRightInd w:val="0"/>
              <w:snapToGrid w:val="0"/>
              <w:spacing w:before="32" w:line="228" w:lineRule="auto"/>
              <w:ind w:left="8" w:right="42"/>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道路、人行道漏扫 的 每处扣 0.2 分 ；清扫保洁后垃圾堆未清理的每处扣-0.3 分，清理不彻底的每处扣0.2 分 。垃圾倒入雨水井口、绿地或其它公</w:t>
            </w:r>
            <w:r>
              <w:rPr>
                <w:rFonts w:hint="eastAsia"/>
                <w:color w:val="000000" w:themeColor="text1"/>
                <w:highlight w:val="none"/>
                <w:lang w:val="en-US" w:eastAsia="zh-CN"/>
                <w14:textFill>
                  <w14:solidFill>
                    <w14:schemeClr w14:val="tx1"/>
                  </w14:solidFill>
                </w14:textFill>
              </w:rPr>
              <w:t>共</w:t>
            </w: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设施的每次扣0.5 分。焚烧垃圾、树 叶、杂物的每发现 1处扣1分。垃圾收集车内的垃圾未直接运往垃圾中转站倾倒， 随意倾倒或造成二次污染的每次扣 2 分。</w:t>
            </w:r>
          </w:p>
        </w:tc>
        <w:tc>
          <w:tcPr>
            <w:tcW w:w="1122" w:type="dxa"/>
            <w:vAlign w:val="center"/>
          </w:tcPr>
          <w:p w14:paraId="196832D2">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2D6BA22E">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5613BDCD">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7F896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8" w:hRule="atLeast"/>
          <w:jc w:val="center"/>
        </w:trPr>
        <w:tc>
          <w:tcPr>
            <w:tcW w:w="723" w:type="dxa"/>
            <w:vMerge w:val="continue"/>
            <w:tcBorders>
              <w:top w:val="nil"/>
              <w:bottom w:val="nil"/>
            </w:tcBorders>
            <w:vAlign w:val="center"/>
          </w:tcPr>
          <w:p w14:paraId="76CB68B4">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1254" w:type="dxa"/>
            <w:vMerge w:val="continue"/>
            <w:tcBorders>
              <w:top w:val="nil"/>
              <w:bottom w:val="nil"/>
            </w:tcBorders>
            <w:vAlign w:val="center"/>
          </w:tcPr>
          <w:p w14:paraId="0E232D59">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5165" w:type="dxa"/>
            <w:vAlign w:val="center"/>
          </w:tcPr>
          <w:p w14:paraId="0A51B3D1">
            <w:pPr>
              <w:kinsoku w:val="0"/>
              <w:autoSpaceDE w:val="0"/>
              <w:autoSpaceDN w:val="0"/>
              <w:adjustRightInd w:val="0"/>
              <w:snapToGrid w:val="0"/>
              <w:spacing w:before="65" w:line="233" w:lineRule="auto"/>
              <w:ind w:right="17"/>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“普扫” 结束后，清扫 保洁作业人员应使用小扫帚进行保洁，避免扬尘。 作业期间保洁人员无脱岗漏保，无立岗、坐岗、 聚堆闲聊等现象，严禁从事与工作无关 的事情。</w:t>
            </w:r>
          </w:p>
        </w:tc>
        <w:tc>
          <w:tcPr>
            <w:tcW w:w="769" w:type="dxa"/>
            <w:vAlign w:val="center"/>
          </w:tcPr>
          <w:p w14:paraId="19E5EEC3">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2分</w:t>
            </w:r>
          </w:p>
        </w:tc>
        <w:tc>
          <w:tcPr>
            <w:tcW w:w="4657" w:type="dxa"/>
            <w:vAlign w:val="center"/>
          </w:tcPr>
          <w:p w14:paraId="58FDB09F">
            <w:pPr>
              <w:kinsoku w:val="0"/>
              <w:autoSpaceDE w:val="0"/>
              <w:autoSpaceDN w:val="0"/>
              <w:adjustRightInd w:val="0"/>
              <w:snapToGrid w:val="0"/>
              <w:spacing w:before="21" w:line="226" w:lineRule="auto"/>
              <w:ind w:left="9"/>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清扫保洁工作人员未使用小扫帚进 行保洁的 ，每发现 1 次扣 0.3 分 ； 作业期间清扫保洁人员有脱岗、立岗、坐岗、聚堆闲聊  的 每发现 1 次扣0.3 分：做工作无关事情扣 0.5 分。</w:t>
            </w:r>
          </w:p>
        </w:tc>
        <w:tc>
          <w:tcPr>
            <w:tcW w:w="1122" w:type="dxa"/>
            <w:vAlign w:val="center"/>
          </w:tcPr>
          <w:p w14:paraId="15DB45FE">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7A98EE2E">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03E788A3">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7E01C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1" w:hRule="atLeast"/>
          <w:jc w:val="center"/>
        </w:trPr>
        <w:tc>
          <w:tcPr>
            <w:tcW w:w="723" w:type="dxa"/>
            <w:vMerge w:val="continue"/>
            <w:tcBorders>
              <w:top w:val="nil"/>
              <w:bottom w:val="nil"/>
            </w:tcBorders>
            <w:vAlign w:val="center"/>
          </w:tcPr>
          <w:p w14:paraId="24E39229">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1254" w:type="dxa"/>
            <w:vMerge w:val="continue"/>
            <w:tcBorders>
              <w:top w:val="nil"/>
              <w:bottom w:val="nil"/>
            </w:tcBorders>
            <w:vAlign w:val="center"/>
          </w:tcPr>
          <w:p w14:paraId="6C615593">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5165" w:type="dxa"/>
            <w:vAlign w:val="center"/>
          </w:tcPr>
          <w:p w14:paraId="403D3291">
            <w:pPr>
              <w:kinsoku w:val="0"/>
              <w:autoSpaceDE w:val="0"/>
              <w:autoSpaceDN w:val="0"/>
              <w:adjustRightInd w:val="0"/>
              <w:snapToGrid w:val="0"/>
              <w:spacing w:before="160" w:line="230" w:lineRule="auto"/>
              <w:ind w:right="103"/>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保洁人员在道路清扫保洁作业时须穿反光安全环卫工作服，并佩证上岗。 保洁捡拾车的车厢两侧及后部设置规范的荧光交通警示标志。</w:t>
            </w:r>
          </w:p>
        </w:tc>
        <w:tc>
          <w:tcPr>
            <w:tcW w:w="769" w:type="dxa"/>
            <w:vAlign w:val="center"/>
          </w:tcPr>
          <w:p w14:paraId="618C67D3">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2分</w:t>
            </w:r>
          </w:p>
        </w:tc>
        <w:tc>
          <w:tcPr>
            <w:tcW w:w="4657" w:type="dxa"/>
            <w:vAlign w:val="center"/>
          </w:tcPr>
          <w:p w14:paraId="790756D2">
            <w:pPr>
              <w:kinsoku w:val="0"/>
              <w:autoSpaceDE w:val="0"/>
              <w:autoSpaceDN w:val="0"/>
              <w:adjustRightInd w:val="0"/>
              <w:snapToGrid w:val="0"/>
              <w:spacing w:before="38" w:line="222" w:lineRule="auto"/>
              <w:ind w:left="9" w:right="94"/>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保洁人员作业时  未穿反光安全环卫工作服的每人扣 0.5 分。保洁捡拾车的车厢两侧及后部未设置规范的荧光交通警示标志 的每车每次扣1分。</w:t>
            </w:r>
          </w:p>
        </w:tc>
        <w:tc>
          <w:tcPr>
            <w:tcW w:w="1122" w:type="dxa"/>
            <w:vAlign w:val="center"/>
          </w:tcPr>
          <w:p w14:paraId="1311AF2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046FB392">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731CD286">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1C7DF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2" w:hRule="atLeast"/>
          <w:jc w:val="center"/>
        </w:trPr>
        <w:tc>
          <w:tcPr>
            <w:tcW w:w="723" w:type="dxa"/>
            <w:vMerge w:val="continue"/>
            <w:tcBorders>
              <w:top w:val="nil"/>
              <w:bottom w:val="nil"/>
            </w:tcBorders>
            <w:vAlign w:val="center"/>
          </w:tcPr>
          <w:p w14:paraId="46FAA6F0">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1254" w:type="dxa"/>
            <w:vMerge w:val="continue"/>
            <w:tcBorders>
              <w:top w:val="nil"/>
              <w:bottom w:val="nil"/>
            </w:tcBorders>
            <w:vAlign w:val="center"/>
          </w:tcPr>
          <w:p w14:paraId="133B156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5165" w:type="dxa"/>
            <w:vAlign w:val="center"/>
          </w:tcPr>
          <w:p w14:paraId="5044B34D">
            <w:pPr>
              <w:kinsoku w:val="0"/>
              <w:autoSpaceDE w:val="0"/>
              <w:autoSpaceDN w:val="0"/>
              <w:adjustRightInd w:val="0"/>
              <w:snapToGrid w:val="0"/>
              <w:spacing w:before="37" w:line="225" w:lineRule="auto"/>
              <w:ind w:left="8"/>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道路清扫保洁人员应 遵守安全作业规定，普扫时逆车流方向作业，在前方50 米处设置警示设施。冬季早 、 晚 “普扫”时安排 1 人进行交通提示 。</w:t>
            </w:r>
          </w:p>
        </w:tc>
        <w:tc>
          <w:tcPr>
            <w:tcW w:w="769" w:type="dxa"/>
            <w:vAlign w:val="center"/>
          </w:tcPr>
          <w:p w14:paraId="35819D21">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2分</w:t>
            </w:r>
          </w:p>
        </w:tc>
        <w:tc>
          <w:tcPr>
            <w:tcW w:w="4657" w:type="dxa"/>
            <w:vAlign w:val="center"/>
          </w:tcPr>
          <w:p w14:paraId="6633E778">
            <w:pPr>
              <w:kinsoku w:val="0"/>
              <w:autoSpaceDE w:val="0"/>
              <w:autoSpaceDN w:val="0"/>
              <w:adjustRightInd w:val="0"/>
              <w:snapToGrid w:val="0"/>
              <w:spacing w:before="65" w:line="232" w:lineRule="auto"/>
              <w:ind w:right="58"/>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未按规定作业的， 每发现一例扣 0.5 分。</w:t>
            </w:r>
          </w:p>
        </w:tc>
        <w:tc>
          <w:tcPr>
            <w:tcW w:w="1122" w:type="dxa"/>
            <w:vAlign w:val="center"/>
          </w:tcPr>
          <w:p w14:paraId="6A0B1CB0">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66FD3509">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205EC40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37FB3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7" w:hRule="atLeast"/>
          <w:jc w:val="center"/>
        </w:trPr>
        <w:tc>
          <w:tcPr>
            <w:tcW w:w="723" w:type="dxa"/>
            <w:tcBorders>
              <w:top w:val="nil"/>
            </w:tcBorders>
            <w:vAlign w:val="center"/>
          </w:tcPr>
          <w:p w14:paraId="3BB6FF76">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1254" w:type="dxa"/>
            <w:tcBorders>
              <w:top w:val="nil"/>
            </w:tcBorders>
            <w:vAlign w:val="center"/>
          </w:tcPr>
          <w:p w14:paraId="7F2D21E7">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5165" w:type="dxa"/>
            <w:vAlign w:val="center"/>
          </w:tcPr>
          <w:p w14:paraId="61C8C1D0">
            <w:pPr>
              <w:widowControl/>
              <w:kinsoku w:val="0"/>
              <w:autoSpaceDE w:val="0"/>
              <w:autoSpaceDN w:val="0"/>
              <w:adjustRightInd w:val="0"/>
              <w:snapToGrid w:val="0"/>
              <w:spacing w:line="439"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p w14:paraId="7D9D98FB">
            <w:pPr>
              <w:kinsoku w:val="0"/>
              <w:autoSpaceDE w:val="0"/>
              <w:autoSpaceDN w:val="0"/>
              <w:adjustRightInd w:val="0"/>
              <w:snapToGrid w:val="0"/>
              <w:spacing w:before="65" w:line="228" w:lineRule="auto"/>
              <w:ind w:left="7" w:right="22" w:firstLine="1"/>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每季度对一线道路保洁 员进行安全生产全面轮训， 并上报轮训记录 。新录用 保洁员应实施安全生产培训后方可上岗，培训情况 及时上报。发生保洁人员伤亡的交通事故应立即上报， 妥善处理后事。</w:t>
            </w:r>
          </w:p>
        </w:tc>
        <w:tc>
          <w:tcPr>
            <w:tcW w:w="769" w:type="dxa"/>
            <w:vAlign w:val="center"/>
          </w:tcPr>
          <w:p w14:paraId="302CCAE7">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8分</w:t>
            </w:r>
          </w:p>
        </w:tc>
        <w:tc>
          <w:tcPr>
            <w:tcW w:w="4657" w:type="dxa"/>
            <w:vAlign w:val="center"/>
          </w:tcPr>
          <w:p w14:paraId="3F7CB803">
            <w:pPr>
              <w:kinsoku w:val="0"/>
              <w:autoSpaceDE w:val="0"/>
              <w:autoSpaceDN w:val="0"/>
              <w:adjustRightInd w:val="0"/>
              <w:snapToGrid w:val="0"/>
              <w:spacing w:before="36" w:line="223" w:lineRule="auto"/>
              <w:ind w:left="9" w:right="82" w:firstLine="3"/>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未按规定时间完成 一线道路保洁员安 全生产全面轮训的 每次扣3分，未按时上报轮训记录的每 次扣 1.5 分；未对新录用环卫工人进 行安全生产培训就 安排上岗的每次扣 1 分，未按时上报培训情况的扣 0.5 分。每发生一起安全事故确认有管理 责任的 ， 扣3分 ； 有人员伤亡事故 扣5分。重大安全事 故可强制退出，终止合同。未及时上报安全事故原因的 扣3分 ， 不妥善处 理事故，造成影响的扣5分。</w:t>
            </w:r>
          </w:p>
        </w:tc>
        <w:tc>
          <w:tcPr>
            <w:tcW w:w="1122" w:type="dxa"/>
            <w:vAlign w:val="center"/>
          </w:tcPr>
          <w:p w14:paraId="11A764E4">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0671C5A9">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1ED2CB4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0483D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723" w:type="dxa"/>
            <w:vMerge w:val="restart"/>
            <w:tcBorders>
              <w:bottom w:val="nil"/>
            </w:tcBorders>
            <w:vAlign w:val="center"/>
          </w:tcPr>
          <w:p w14:paraId="42D5A77D">
            <w:pPr>
              <w:kinsoku w:val="0"/>
              <w:autoSpaceDE w:val="0"/>
              <w:autoSpaceDN w:val="0"/>
              <w:adjustRightInd w:val="0"/>
              <w:snapToGrid w:val="0"/>
              <w:spacing w:before="65" w:line="269" w:lineRule="exact"/>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5</w:t>
            </w:r>
          </w:p>
        </w:tc>
        <w:tc>
          <w:tcPr>
            <w:tcW w:w="1254" w:type="dxa"/>
            <w:vMerge w:val="restart"/>
            <w:tcBorders>
              <w:bottom w:val="nil"/>
            </w:tcBorders>
            <w:vAlign w:val="center"/>
          </w:tcPr>
          <w:p w14:paraId="62AFC949">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监督管理</w:t>
            </w:r>
          </w:p>
          <w:p w14:paraId="501E1ECA">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 xml:space="preserve"> 落实</w:t>
            </w:r>
          </w:p>
          <w:p w14:paraId="70ECA1C1">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 xml:space="preserve"> (17分)</w:t>
            </w:r>
          </w:p>
        </w:tc>
        <w:tc>
          <w:tcPr>
            <w:tcW w:w="5165" w:type="dxa"/>
            <w:vAlign w:val="center"/>
          </w:tcPr>
          <w:p w14:paraId="07D8EB91">
            <w:pPr>
              <w:kinsoku w:val="0"/>
              <w:autoSpaceDE w:val="0"/>
              <w:autoSpaceDN w:val="0"/>
              <w:adjustRightInd w:val="0"/>
              <w:snapToGrid w:val="0"/>
              <w:spacing w:before="65" w:line="227"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无新闻媒体曝光。</w:t>
            </w:r>
          </w:p>
        </w:tc>
        <w:tc>
          <w:tcPr>
            <w:tcW w:w="769" w:type="dxa"/>
            <w:vAlign w:val="center"/>
          </w:tcPr>
          <w:p w14:paraId="7D2C24AB">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8分</w:t>
            </w:r>
          </w:p>
        </w:tc>
        <w:tc>
          <w:tcPr>
            <w:tcW w:w="4657" w:type="dxa"/>
            <w:vAlign w:val="center"/>
          </w:tcPr>
          <w:p w14:paraId="0B41802A">
            <w:pPr>
              <w:kinsoku w:val="0"/>
              <w:autoSpaceDE w:val="0"/>
              <w:autoSpaceDN w:val="0"/>
              <w:adjustRightInd w:val="0"/>
              <w:snapToGrid w:val="0"/>
              <w:spacing w:before="22" w:line="227" w:lineRule="auto"/>
              <w:ind w:left="12" w:right="3" w:hanging="2"/>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新闻媒体曝光查实有责的每次扣3 分， 整改不及时 、不到位的扣5分。</w:t>
            </w:r>
          </w:p>
        </w:tc>
        <w:tc>
          <w:tcPr>
            <w:tcW w:w="1122" w:type="dxa"/>
            <w:vAlign w:val="center"/>
          </w:tcPr>
          <w:p w14:paraId="74DD43C8">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48916A6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1718FEDF">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67526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9" w:hRule="atLeast"/>
          <w:jc w:val="center"/>
        </w:trPr>
        <w:tc>
          <w:tcPr>
            <w:tcW w:w="723" w:type="dxa"/>
            <w:vMerge w:val="continue"/>
            <w:tcBorders>
              <w:top w:val="nil"/>
            </w:tcBorders>
            <w:vAlign w:val="center"/>
          </w:tcPr>
          <w:p w14:paraId="321C018D">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1254" w:type="dxa"/>
            <w:vMerge w:val="continue"/>
            <w:tcBorders>
              <w:top w:val="nil"/>
            </w:tcBorders>
            <w:vAlign w:val="center"/>
          </w:tcPr>
          <w:p w14:paraId="649A05D9">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5165" w:type="dxa"/>
            <w:vAlign w:val="center"/>
          </w:tcPr>
          <w:p w14:paraId="05500A4B">
            <w:pPr>
              <w:kinsoku w:val="0"/>
              <w:autoSpaceDE w:val="0"/>
              <w:autoSpaceDN w:val="0"/>
              <w:adjustRightInd w:val="0"/>
              <w:snapToGrid w:val="0"/>
              <w:spacing w:before="15" w:line="224" w:lineRule="auto"/>
              <w:ind w:left="11" w:right="81" w:hanging="3"/>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及时处理街办等相关部门检查要求整改、督办的问题。</w:t>
            </w:r>
          </w:p>
        </w:tc>
        <w:tc>
          <w:tcPr>
            <w:tcW w:w="769" w:type="dxa"/>
            <w:vAlign w:val="center"/>
          </w:tcPr>
          <w:p w14:paraId="4A2D68B3">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9分</w:t>
            </w:r>
          </w:p>
        </w:tc>
        <w:tc>
          <w:tcPr>
            <w:tcW w:w="4657" w:type="dxa"/>
            <w:vAlign w:val="center"/>
          </w:tcPr>
          <w:p w14:paraId="7F9109FA">
            <w:pPr>
              <w:kinsoku w:val="0"/>
              <w:autoSpaceDE w:val="0"/>
              <w:autoSpaceDN w:val="0"/>
              <w:adjustRightInd w:val="0"/>
              <w:snapToGrid w:val="0"/>
              <w:spacing w:before="18" w:line="223" w:lineRule="auto"/>
              <w:ind w:left="11" w:right="58" w:hanging="2"/>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通报批评一次扣1 分；整改不及时的扣1分，督办后仍不处理的扣 3 分</w:t>
            </w:r>
          </w:p>
        </w:tc>
        <w:tc>
          <w:tcPr>
            <w:tcW w:w="1122" w:type="dxa"/>
            <w:vAlign w:val="center"/>
          </w:tcPr>
          <w:p w14:paraId="3176EA48">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2C80F4FA">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71487D55">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60C07D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jc w:val="center"/>
        </w:trPr>
        <w:tc>
          <w:tcPr>
            <w:tcW w:w="723" w:type="dxa"/>
            <w:vAlign w:val="center"/>
          </w:tcPr>
          <w:p w14:paraId="20063634">
            <w:pPr>
              <w:kinsoku w:val="0"/>
              <w:autoSpaceDE w:val="0"/>
              <w:autoSpaceDN w:val="0"/>
              <w:adjustRightInd w:val="0"/>
              <w:snapToGrid w:val="0"/>
              <w:spacing w:before="65" w:line="269" w:lineRule="exact"/>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6</w:t>
            </w:r>
          </w:p>
        </w:tc>
        <w:tc>
          <w:tcPr>
            <w:tcW w:w="1254" w:type="dxa"/>
            <w:vAlign w:val="center"/>
          </w:tcPr>
          <w:p w14:paraId="14E67A42">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应急预案</w:t>
            </w:r>
          </w:p>
          <w:p w14:paraId="1ED800BC">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(10分)</w:t>
            </w:r>
          </w:p>
        </w:tc>
        <w:tc>
          <w:tcPr>
            <w:tcW w:w="5165" w:type="dxa"/>
            <w:vAlign w:val="center"/>
          </w:tcPr>
          <w:p w14:paraId="5C7D4677">
            <w:pPr>
              <w:kinsoku w:val="0"/>
              <w:autoSpaceDE w:val="0"/>
              <w:autoSpaceDN w:val="0"/>
              <w:adjustRightInd w:val="0"/>
              <w:snapToGrid w:val="0"/>
              <w:spacing w:before="65" w:line="239" w:lineRule="auto"/>
              <w:ind w:right="5"/>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制定防汛、抗雪及其他突发事件应急预案，及时、有效应对。</w:t>
            </w:r>
          </w:p>
        </w:tc>
        <w:tc>
          <w:tcPr>
            <w:tcW w:w="769" w:type="dxa"/>
            <w:vAlign w:val="center"/>
          </w:tcPr>
          <w:p w14:paraId="557EDF20">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10分</w:t>
            </w:r>
          </w:p>
        </w:tc>
        <w:tc>
          <w:tcPr>
            <w:tcW w:w="4657" w:type="dxa"/>
            <w:vAlign w:val="center"/>
          </w:tcPr>
          <w:p w14:paraId="4D05D22D">
            <w:pPr>
              <w:kinsoku w:val="0"/>
              <w:autoSpaceDE w:val="0"/>
              <w:autoSpaceDN w:val="0"/>
              <w:adjustRightInd w:val="0"/>
              <w:snapToGrid w:val="0"/>
              <w:spacing w:before="24" w:line="222" w:lineRule="auto"/>
              <w:ind w:left="9" w:firstLine="3"/>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没有制定防汛、抗 雪或其他突发事件应急预案、应对措施的每项每次扣1分。未能有效应对防汛、抗雪或其他突发事件的，每项每次扣3分。</w:t>
            </w:r>
          </w:p>
        </w:tc>
        <w:tc>
          <w:tcPr>
            <w:tcW w:w="1122" w:type="dxa"/>
            <w:vAlign w:val="center"/>
          </w:tcPr>
          <w:p w14:paraId="580C7920">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49FC389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7BFF9F3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48CDD9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85" w:hRule="atLeast"/>
          <w:jc w:val="center"/>
        </w:trPr>
        <w:tc>
          <w:tcPr>
            <w:tcW w:w="723" w:type="dxa"/>
            <w:vAlign w:val="center"/>
          </w:tcPr>
          <w:p w14:paraId="0A0D6305">
            <w:pPr>
              <w:kinsoku w:val="0"/>
              <w:autoSpaceDE w:val="0"/>
              <w:autoSpaceDN w:val="0"/>
              <w:adjustRightInd w:val="0"/>
              <w:snapToGrid w:val="0"/>
              <w:spacing w:before="65" w:line="269" w:lineRule="exact"/>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0"/>
                <w:position w:val="0"/>
                <w:sz w:val="21"/>
                <w:szCs w:val="21"/>
                <w:highlight w:val="none"/>
                <w:lang w:val="en-US" w:eastAsia="en-US" w:bidi="ar-SA"/>
                <w14:textFill>
                  <w14:solidFill>
                    <w14:schemeClr w14:val="tx1"/>
                  </w14:solidFill>
                </w14:textFill>
              </w:rPr>
              <w:t>7</w:t>
            </w:r>
          </w:p>
        </w:tc>
        <w:tc>
          <w:tcPr>
            <w:tcW w:w="1254" w:type="dxa"/>
            <w:vAlign w:val="center"/>
          </w:tcPr>
          <w:p w14:paraId="375B2E74">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台账资料</w:t>
            </w:r>
          </w:p>
          <w:p w14:paraId="7A1C86B7">
            <w:pPr>
              <w:keepNext w:val="0"/>
              <w:keepLines w:val="0"/>
              <w:pageBreakBefore w:val="0"/>
              <w:widowControl w:val="0"/>
              <w:kinsoku w:val="0"/>
              <w:wordWrap/>
              <w:overflowPunct/>
              <w:topLinePunct w:val="0"/>
              <w:autoSpaceDE w:val="0"/>
              <w:autoSpaceDN w:val="0"/>
              <w:bidi w:val="0"/>
              <w:adjustRightInd w:val="0"/>
              <w:snapToGrid w:val="0"/>
              <w:spacing w:line="240" w:lineRule="auto"/>
              <w:ind w:right="47"/>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(3分)</w:t>
            </w:r>
          </w:p>
        </w:tc>
        <w:tc>
          <w:tcPr>
            <w:tcW w:w="5165" w:type="dxa"/>
            <w:vAlign w:val="center"/>
          </w:tcPr>
          <w:p w14:paraId="132FE8BC">
            <w:pPr>
              <w:kinsoku w:val="0"/>
              <w:autoSpaceDE w:val="0"/>
              <w:autoSpaceDN w:val="0"/>
              <w:adjustRightInd w:val="0"/>
              <w:snapToGrid w:val="0"/>
              <w:spacing w:before="65" w:line="23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建立完善的工作制度，制定各项整治、重大活动、重要线路保障等工作方案。每月28号前以书面形式上报次月作业计划、数据台账。</w:t>
            </w:r>
          </w:p>
        </w:tc>
        <w:tc>
          <w:tcPr>
            <w:tcW w:w="769" w:type="dxa"/>
            <w:vAlign w:val="center"/>
          </w:tcPr>
          <w:p w14:paraId="11B51D78">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3分</w:t>
            </w:r>
          </w:p>
        </w:tc>
        <w:tc>
          <w:tcPr>
            <w:tcW w:w="4657" w:type="dxa"/>
            <w:vAlign w:val="center"/>
          </w:tcPr>
          <w:p w14:paraId="190FC071">
            <w:pPr>
              <w:kinsoku w:val="0"/>
              <w:autoSpaceDE w:val="0"/>
              <w:autoSpaceDN w:val="0"/>
              <w:adjustRightInd w:val="0"/>
              <w:snapToGrid w:val="0"/>
              <w:spacing w:before="27" w:line="224" w:lineRule="auto"/>
              <w:ind w:left="8" w:right="58" w:firstLine="4"/>
              <w:jc w:val="both"/>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未建立完善的工作制度，未制定各项整治、重大活动、重要线路保障等 工作方案的每项每次扣1分 。未及时上报作业计划、数据台账的，每项每 次扣0.5 分。</w:t>
            </w:r>
          </w:p>
        </w:tc>
        <w:tc>
          <w:tcPr>
            <w:tcW w:w="1122" w:type="dxa"/>
            <w:vAlign w:val="center"/>
          </w:tcPr>
          <w:p w14:paraId="7CECC1F8">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2FE78379">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328CF46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r w14:paraId="580F62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jc w:val="center"/>
        </w:trPr>
        <w:tc>
          <w:tcPr>
            <w:tcW w:w="1977" w:type="dxa"/>
            <w:gridSpan w:val="2"/>
            <w:vAlign w:val="center"/>
          </w:tcPr>
          <w:p w14:paraId="79CD5F27">
            <w:pPr>
              <w:kinsoku w:val="0"/>
              <w:autoSpaceDE w:val="0"/>
              <w:autoSpaceDN w:val="0"/>
              <w:adjustRightInd w:val="0"/>
              <w:snapToGrid w:val="0"/>
              <w:spacing w:before="113" w:line="228" w:lineRule="auto"/>
              <w:ind w:left="454"/>
              <w:jc w:val="left"/>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合计分值</w:t>
            </w:r>
          </w:p>
        </w:tc>
        <w:tc>
          <w:tcPr>
            <w:tcW w:w="5165" w:type="dxa"/>
            <w:vAlign w:val="center"/>
          </w:tcPr>
          <w:p w14:paraId="01D3872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9" w:type="dxa"/>
            <w:vAlign w:val="center"/>
          </w:tcPr>
          <w:p w14:paraId="6654EF7D">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10</w:t>
            </w:r>
            <w:r>
              <w:rPr>
                <w:rFonts w:hint="eastAsia" w:ascii="宋体" w:hAnsi="宋体" w:eastAsia="宋体" w:cs="宋体"/>
                <w:snapToGrid w:val="0"/>
                <w:color w:val="000000" w:themeColor="text1"/>
                <w:spacing w:val="0"/>
                <w:kern w:val="0"/>
                <w:position w:val="0"/>
                <w:sz w:val="21"/>
                <w:szCs w:val="21"/>
                <w:highlight w:val="none"/>
                <w:lang w:val="en-US" w:eastAsia="zh-CN" w:bidi="ar-SA"/>
                <w14:textFill>
                  <w14:solidFill>
                    <w14:schemeClr w14:val="tx1"/>
                  </w14:solidFill>
                </w14:textFill>
              </w:rPr>
              <w:t>0</w:t>
            </w:r>
            <w:r>
              <w:rPr>
                <w:rFonts w:hint="eastAsia" w:ascii="宋体" w:hAnsi="宋体" w:eastAsia="宋体" w:cs="宋体"/>
                <w:snapToGrid w:val="0"/>
                <w:color w:val="000000" w:themeColor="text1"/>
                <w:spacing w:val="0"/>
                <w:kern w:val="0"/>
                <w:position w:val="0"/>
                <w:sz w:val="21"/>
                <w:szCs w:val="21"/>
                <w:highlight w:val="none"/>
                <w:lang w:val="en-US" w:eastAsia="en-US" w:bidi="ar-SA"/>
                <w14:textFill>
                  <w14:solidFill>
                    <w14:schemeClr w14:val="tx1"/>
                  </w14:solidFill>
                </w14:textFill>
              </w:rPr>
              <w:t>分</w:t>
            </w:r>
          </w:p>
        </w:tc>
        <w:tc>
          <w:tcPr>
            <w:tcW w:w="4657" w:type="dxa"/>
            <w:vAlign w:val="center"/>
          </w:tcPr>
          <w:p w14:paraId="043BC3F0">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1122" w:type="dxa"/>
            <w:vAlign w:val="center"/>
          </w:tcPr>
          <w:p w14:paraId="1D8CBE6A">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04" w:type="dxa"/>
            <w:vAlign w:val="center"/>
          </w:tcPr>
          <w:p w14:paraId="21FCEC8B">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c>
          <w:tcPr>
            <w:tcW w:w="763" w:type="dxa"/>
            <w:vAlign w:val="center"/>
          </w:tcPr>
          <w:p w14:paraId="067E72C2">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themeColor="text1"/>
                <w:spacing w:val="0"/>
                <w:kern w:val="0"/>
                <w:position w:val="0"/>
                <w:sz w:val="21"/>
                <w:szCs w:val="21"/>
                <w:highlight w:val="none"/>
                <w:lang w:eastAsia="en-US"/>
                <w14:textFill>
                  <w14:solidFill>
                    <w14:schemeClr w14:val="tx1"/>
                  </w14:solidFill>
                </w14:textFill>
              </w:rPr>
            </w:pPr>
          </w:p>
        </w:tc>
      </w:tr>
    </w:tbl>
    <w:p w14:paraId="39DB9064">
      <w:pPr>
        <w:rPr>
          <w:rFonts w:hint="eastAsia" w:eastAsia="宋体"/>
          <w:color w:val="000000" w:themeColor="text1"/>
          <w:highlight w:val="none"/>
          <w:lang w:eastAsia="zh-CN"/>
          <w14:textFill>
            <w14:solidFill>
              <w14:schemeClr w14:val="tx1"/>
            </w14:solidFill>
          </w14:textFill>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D766BB"/>
    <w:rsid w:val="2FD76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spacing w:before="156" w:beforeLines="50" w:line="480" w:lineRule="auto"/>
      <w:ind w:firstLine="419" w:firstLineChars="149"/>
      <w:jc w:val="left"/>
    </w:pPr>
  </w:style>
  <w:style w:type="paragraph" w:styleId="3">
    <w:name w:val="Body Text"/>
    <w:basedOn w:val="1"/>
    <w:unhideWhenUsed/>
    <w:qFormat/>
    <w:uiPriority w:val="99"/>
    <w:pPr>
      <w:spacing w:after="120"/>
    </w:pPr>
  </w:style>
  <w:style w:type="paragraph" w:styleId="4">
    <w:name w:val="Plain Text"/>
    <w:basedOn w:val="1"/>
    <w:qFormat/>
    <w:uiPriority w:val="0"/>
    <w:rPr>
      <w:rFonts w:ascii="宋体" w:hAnsi="Courier New" w:cs="Courier New"/>
      <w:szCs w:val="21"/>
    </w:rPr>
  </w:style>
  <w:style w:type="paragraph" w:styleId="5">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6">
    <w:name w:val="Body Text First Indent"/>
    <w:basedOn w:val="3"/>
    <w:unhideWhenUsed/>
    <w:qFormat/>
    <w:uiPriority w:val="99"/>
    <w:pPr>
      <w:ind w:firstLine="420" w:firstLineChars="100"/>
    </w:pPr>
  </w:style>
  <w:style w:type="paragraph" w:customStyle="1" w:styleId="9">
    <w:name w:val="样式 首行缩进:  2 字符"/>
    <w:basedOn w:val="1"/>
    <w:autoRedefine/>
    <w:qFormat/>
    <w:uiPriority w:val="0"/>
    <w:pPr>
      <w:spacing w:line="336" w:lineRule="auto"/>
      <w:ind w:firstLine="420" w:firstLineChars="200"/>
    </w:pPr>
    <w:rPr>
      <w:rFonts w:cs="宋体"/>
      <w:bCs/>
      <w:color w:val="FF0000"/>
      <w:szCs w:val="21"/>
    </w:rPr>
  </w:style>
  <w:style w:type="table" w:customStyle="1" w:styleId="10">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1">
    <w:name w:val="Table Text"/>
    <w:basedOn w:val="1"/>
    <w:autoRedefine/>
    <w:semiHidden/>
    <w:qFormat/>
    <w:uiPriority w:val="0"/>
    <w:pPr>
      <w:kinsoku w:val="0"/>
      <w:autoSpaceDE w:val="0"/>
      <w:autoSpaceDN w:val="0"/>
      <w:adjustRightInd w:val="0"/>
      <w:snapToGrid w:val="0"/>
      <w:ind w:left="105" w:right="105" w:firstLine="200" w:firstLineChars="100"/>
      <w:jc w:val="center"/>
      <w:textAlignment w:val="baseline"/>
    </w:pPr>
    <w:rPr>
      <w:rFonts w:asciiTheme="minorEastAsia" w:hAnsiTheme="minorEastAsia" w:eastAsiaTheme="minorEastAsia"/>
      <w:snapToGrid w:val="0"/>
      <w:color w:val="FF0000"/>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2025-06-13T13:41:00Z</dcterms:created>
  <dc:creator>mo·xuan</dc:creator>
  <cp:lastModifiedBy>mo·xuan</cp:lastModifiedBy>
  <dcterms:modified xsi:type="dcterms:W3CDTF">2025-06-13T13:44:02Z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7C85491BF5C7491EAB85B3B5058D2D6F_11</vt:lpwstr>
  </property>
  <property fmtid="{D5CDD505-2E9C-101B-9397-08002B2CF9AE}" pid="4" name="KSOTemplateDocerSaveRecord">
    <vt:lpwstr>eyJoZGlkIjoiYTYwNWE2MmNhNzRiMDNhMjMzYTJhNjIzZjY2YmY0MGMiLCJ1c2VySWQiOiI3OTY2NTg3ODQifQ==</vt:lpwstr>
  </property>
</Properties>
</file>