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版本号：HXGJXM2025-ZC-CS105120250622001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雁塔区2025年度违法用地与违法建设测量技术服务项目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HXGJXM2025-ZC-CS1051</w:t>
      </w:r>
      <w:r>
        <w:br/>
      </w:r>
      <w:r>
        <w:br/>
      </w:r>
      <w:r>
        <w:br/>
      </w:r>
    </w:p>
    <w:p>
      <w:pPr>
        <w:pStyle w:val="null3"/>
        <w:jc w:val="center"/>
        <w:outlineLvl w:val="2"/>
      </w:pPr>
      <w:r>
        <w:rPr>
          <w:rFonts w:ascii="仿宋_GB2312" w:hAnsi="仿宋_GB2312" w:cs="仿宋_GB2312" w:eastAsia="仿宋_GB2312"/>
          <w:sz w:val="28"/>
          <w:b/>
        </w:rPr>
        <w:t>西安市自然资源和规划局雁塔分局</w:t>
      </w:r>
    </w:p>
    <w:p>
      <w:pPr>
        <w:pStyle w:val="null3"/>
        <w:jc w:val="center"/>
        <w:outlineLvl w:val="2"/>
      </w:pPr>
      <w:r>
        <w:rPr>
          <w:rFonts w:ascii="仿宋_GB2312" w:hAnsi="仿宋_GB2312" w:cs="仿宋_GB2312" w:eastAsia="仿宋_GB2312"/>
          <w:sz w:val="28"/>
          <w:b/>
        </w:rPr>
        <w:t>华夏国际项目管理有限公司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西安市自然资源和规划局雁塔分局</w:t>
      </w:r>
      <w:r>
        <w:rPr>
          <w:rFonts w:ascii="仿宋_GB2312" w:hAnsi="仿宋_GB2312" w:cs="仿宋_GB2312" w:eastAsia="仿宋_GB2312"/>
        </w:rPr>
        <w:t>委托，拟对</w:t>
      </w:r>
      <w:r>
        <w:rPr>
          <w:rFonts w:ascii="仿宋_GB2312" w:hAnsi="仿宋_GB2312" w:cs="仿宋_GB2312" w:eastAsia="仿宋_GB2312"/>
        </w:rPr>
        <w:t>雁塔区2025年度违法用地与违法建设测量技术服务项目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HXGJXM2025-ZC-CS1051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雁塔区2025年度违法用地与违法建设测量技术服务项目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采购内容：配合分局对违法行为进行调查，确定违法占地及违法建筑范围，对违法行为进行实测，提供相应测量资料； 主要功能或目标:掌握违法用地及违法建筑面积，为违法案件处罚提供依据，减少违法行为数量； 需满足的要求:满足《房产测量规范》GB/T 17986-2000，《卫星导航定位基准站网络实时动态测量（RTK）规范》GB/T 39616-2020，《城市测量规范》CJJ/T8-2011，《土地勘测定界规范》TD/T1008-2007,《1:500、1:1000、1:2000地形图图式》GB/T20257.1-2017,《测绘成果质量检查与验收》GB/T24356-2023等规范要求。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采购包1（雁塔区2025年度违法用地与违法建设测量技术服务项目）：属于专门面向中小企业采购。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书：法定代表人授权书（附法定代表人、被授权人身份证复印件）及被授权人在磋商截止日前一年内已缴存的至少一个月的社会保险参保缴费证明；（法定代表人直接参加磋商，须提供法定代表人身份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采购代理机构于本项目单一来源邀请函发出之日至谈判响应文件递交截止日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pPr>
        <w:pStyle w:val="null3"/>
      </w:pPr>
      <w:r>
        <w:rPr>
          <w:rFonts w:ascii="仿宋_GB2312" w:hAnsi="仿宋_GB2312" w:cs="仿宋_GB2312" w:eastAsia="仿宋_GB2312"/>
        </w:rPr>
        <w:t>3、供应商资质：供应商具备测绘主管部门颁发的测绘资质乙级及以上资质（专业范围应含：工程测量、界限与不动产测绘）。</w:t>
      </w:r>
    </w:p>
    <w:p>
      <w:pPr>
        <w:pStyle w:val="null3"/>
      </w:pPr>
      <w:r>
        <w:rPr>
          <w:rFonts w:ascii="仿宋_GB2312" w:hAnsi="仿宋_GB2312" w:cs="仿宋_GB2312" w:eastAsia="仿宋_GB2312"/>
        </w:rPr>
        <w:t>4、项目负责人资质：项目负责人具有注册测绘师资格证书（在本单位注册），并提供2025年1月至今任意一个月的社会保险参保缴费证明。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西安市自然资源和规划局雁塔分局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西安市雁塔区朱雀大街21号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029-85253085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西安市莲湖区二环南路西段202号九座花园16楼1605</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柴彩珍、陆文科、康敏茹、张艳萍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029-88899970-808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计价格[2002]1980号）的通知和国家发展和改革委员会办公厅颁发的《关于招标代理服务收费有关问题的通知》（发改办价格[2003]857号）的有关规定执行。 服务费账户： 户名：华夏国际项目管理（西安）有限公司 开户行：中国工商银行西安市城南科技支行 银行账号：3700024819200130193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西安市自然资源和规划局雁塔分局</w:t>
      </w:r>
      <w:r>
        <w:rPr>
          <w:rFonts w:ascii="仿宋_GB2312" w:hAnsi="仿宋_GB2312" w:cs="仿宋_GB2312" w:eastAsia="仿宋_GB2312"/>
        </w:rPr>
        <w:t>和</w:t>
      </w:r>
      <w:r>
        <w:rPr>
          <w:rFonts w:ascii="仿宋_GB2312" w:hAnsi="仿宋_GB2312" w:cs="仿宋_GB2312" w:eastAsia="仿宋_GB2312"/>
        </w:rPr>
        <w:t>华夏国际项目管理有限公司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西安市自然资源和规划局雁塔分局</w:t>
      </w:r>
      <w:r>
        <w:rPr>
          <w:rFonts w:ascii="仿宋_GB2312" w:hAnsi="仿宋_GB2312" w:cs="仿宋_GB2312" w:eastAsia="仿宋_GB2312"/>
        </w:rPr>
        <w:t>负责解释。除上述磋商文件内容，其他内容由</w:t>
      </w:r>
      <w:r>
        <w:rPr>
          <w:rFonts w:ascii="仿宋_GB2312" w:hAnsi="仿宋_GB2312" w:cs="仿宋_GB2312" w:eastAsia="仿宋_GB2312"/>
        </w:rPr>
        <w:t>华夏国际项目管理有限公司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西安市自然资源和规划局雁塔分局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1、验收：由西安市自然资源和规划局雁塔分局组织验收，成交供应商对本项目最终的服务质量负完全责任。 2、验收依据：（1）合同；（2）国家有关的验收标准及规范；（3）竞争性磋商文件及竞争性磋商响应文件。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联系人：柴彩珍、陆文科、康敏茹、张艳萍</w:t>
      </w:r>
    </w:p>
    <w:p>
      <w:pPr>
        <w:pStyle w:val="null3"/>
      </w:pPr>
      <w:r>
        <w:rPr>
          <w:rFonts w:ascii="仿宋_GB2312" w:hAnsi="仿宋_GB2312" w:cs="仿宋_GB2312" w:eastAsia="仿宋_GB2312"/>
        </w:rPr>
        <w:t>联系电话：029-88899970-808</w:t>
      </w:r>
    </w:p>
    <w:p>
      <w:pPr>
        <w:pStyle w:val="null3"/>
      </w:pPr>
      <w:r>
        <w:rPr>
          <w:rFonts w:ascii="仿宋_GB2312" w:hAnsi="仿宋_GB2312" w:cs="仿宋_GB2312" w:eastAsia="仿宋_GB2312"/>
        </w:rPr>
        <w:t>地址：西安市莲湖区二环南路西段202号九座花园16楼1605</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采购内容：配合分局对违法行为进行调查，确定违法占地及违法建筑范围，对违法行为进行实测，提供相应测量资料； 主要功能或目标:掌握违法用地及违法建筑面积，为违法案件处罚提供依据，减少违法行为数量； 需满足的要求:满足《房产测量规范》GB/T 17986-2000，《卫星导航定位基准站网络实时动态测量（RTK）规范》GB/T 39616-2020，《城市测量规范》CJJ/T8-2011，《土地勘测定界规范》TD/T1008-2007,《1:500、1:1000、1:2000地形图图式》GB/T20257.1-2017,《测绘成果质量检查与验收》GB/T24356-2023等规范要求。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860,000.00</w:t>
      </w:r>
    </w:p>
    <w:p>
      <w:pPr>
        <w:pStyle w:val="null3"/>
      </w:pPr>
      <w:r>
        <w:rPr>
          <w:rFonts w:ascii="仿宋_GB2312" w:hAnsi="仿宋_GB2312" w:cs="仿宋_GB2312" w:eastAsia="仿宋_GB2312"/>
        </w:rPr>
        <w:t>采购包最高限价（元）: 860,000.00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雁塔区2025年度违法用地与违法建设测量技术服务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标的名称：雁塔区2025年度违法用地与违法建设测量技术服务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违法用地测量；</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违法建筑实测；</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收集相关资料，根据测量数据提供面积、坐标，套合变更调查数据库等；</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对违法项目进行航空摄影测量，提供正射影像图</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1"/>
              </w:rPr>
              <w:t>本项目服务内容暂定数量如下：</w:t>
            </w:r>
          </w:p>
          <w:tbl>
            <w:tblPr>
              <w:tblInd w:type="dxa" w:w="120"/>
              <w:tblBorders>
                <w:top w:val="none" w:color="000000" w:sz="4"/>
                <w:left w:val="none" w:color="000000" w:sz="4"/>
                <w:bottom w:val="none" w:color="000000" w:sz="4"/>
                <w:right w:val="none" w:color="000000" w:sz="4"/>
                <w:insideH w:val="none"/>
                <w:insideV w:val="none"/>
              </w:tblBorders>
            </w:tblPr>
            <w:tblGrid>
              <w:gridCol w:w="218"/>
              <w:gridCol w:w="1597"/>
              <w:gridCol w:w="373"/>
              <w:gridCol w:w="364"/>
            </w:tblGrid>
            <w:tr>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15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标的名称</w:t>
                  </w:r>
                </w:p>
              </w:tc>
              <w:tc>
                <w:tcPr>
                  <w:tcW w:type="dxa" w:w="3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暂定数量</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r>
            <w:tr>
              <w:tc>
                <w:tcPr>
                  <w:tcW w:type="dxa" w:w="2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违法用地地籍测量（不含地籍调查及宗地确权）</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200000</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违法用地实测点测量（实测界址点）</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点</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违法用地实测点测量（内业界址点）</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点</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违法用地航测、正射影像制作，套合</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r>
            <w:tr>
              <w:tc>
                <w:tcPr>
                  <w:tcW w:type="dxa" w:w="2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违法用地现状图、规划图套合</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违法建筑面积测量（面积</w:t>
                  </w:r>
                  <w:r>
                    <w:rPr>
                      <w:rFonts w:ascii="仿宋_GB2312" w:hAnsi="仿宋_GB2312" w:cs="仿宋_GB2312" w:eastAsia="仿宋_GB2312"/>
                      <w:sz w:val="20"/>
                      <w:color w:val="000000"/>
                    </w:rPr>
                    <w:t>≤</w:t>
                  </w:r>
                  <w:r>
                    <w:rPr>
                      <w:rFonts w:ascii="仿宋_GB2312" w:hAnsi="仿宋_GB2312" w:cs="仿宋_GB2312" w:eastAsia="仿宋_GB2312"/>
                      <w:sz w:val="20"/>
                      <w:color w:val="000000"/>
                    </w:rPr>
                    <w:t>2000</w:t>
                  </w:r>
                  <w:r>
                    <w:rPr>
                      <w:rFonts w:ascii="仿宋_GB2312" w:hAnsi="仿宋_GB2312" w:cs="仿宋_GB2312" w:eastAsia="仿宋_GB2312"/>
                      <w:sz w:val="20"/>
                      <w:color w:val="000000"/>
                    </w:rPr>
                    <w:t>平方米））</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违法建筑面积测量（面积</w:t>
                  </w:r>
                  <w:r>
                    <w:rPr>
                      <w:rFonts w:ascii="仿宋_GB2312" w:hAnsi="仿宋_GB2312" w:cs="仿宋_GB2312" w:eastAsia="仿宋_GB2312"/>
                      <w:sz w:val="20"/>
                      <w:color w:val="000000"/>
                    </w:rPr>
                    <w:t>&gt;2000</w:t>
                  </w:r>
                  <w:r>
                    <w:rPr>
                      <w:rFonts w:ascii="仿宋_GB2312" w:hAnsi="仿宋_GB2312" w:cs="仿宋_GB2312" w:eastAsia="仿宋_GB2312"/>
                      <w:sz w:val="20"/>
                      <w:color w:val="000000"/>
                    </w:rPr>
                    <w:t>平方米）</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150000</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bl>
          <w:p>
            <w:pPr>
              <w:pStyle w:val="null3"/>
            </w:pPr>
            <w:r>
              <w:rPr>
                <w:rFonts w:ascii="仿宋_GB2312" w:hAnsi="仿宋_GB2312" w:cs="仿宋_GB2312" w:eastAsia="仿宋_GB2312"/>
                <w:sz w:val="21"/>
              </w:rPr>
              <w:t>备注：</w:t>
            </w:r>
            <w:r>
              <w:rPr>
                <w:rFonts w:ascii="仿宋_GB2312" w:hAnsi="仿宋_GB2312" w:cs="仿宋_GB2312" w:eastAsia="仿宋_GB2312"/>
                <w:sz w:val="21"/>
              </w:rPr>
              <w:t>本项目以最终的服务内容</w:t>
            </w:r>
            <w:r>
              <w:rPr>
                <w:rFonts w:ascii="仿宋_GB2312" w:hAnsi="仿宋_GB2312" w:cs="仿宋_GB2312" w:eastAsia="仿宋_GB2312"/>
                <w:sz w:val="21"/>
              </w:rPr>
              <w:t>及数量据实结算，项目结算金额</w:t>
            </w:r>
            <w:r>
              <w:rPr>
                <w:rFonts w:ascii="仿宋_GB2312" w:hAnsi="仿宋_GB2312" w:cs="仿宋_GB2312" w:eastAsia="仿宋_GB2312"/>
                <w:sz w:val="21"/>
              </w:rPr>
              <w:t>=成交供应商成交单价×实际发生的数量）。</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满足项目实施需要，确保项目顺利实施。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满足项目实施需要，确保项目顺利实施。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保密要求：甲、乙双方应永久恪守因签署或履行本合同而获知的对方秘密信息及其它秘密资料，特别是国家安全秘密。任何一方如将获知的对方秘密信息泄露给第三方，应赔偿因泄密而给对方造成的一切损失并承担相应的法律责任（包括刑事责任）。 2、质量要求：满足国家、省、市现行法律法规及相关政策要求。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自合同签订生效之日起至2025年12月31日止。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1、验收：由西安市自然资源和规划局雁塔分局组织验收，成交供应商对本项目最终的服务质量负完全责任。 2、验收依据：（1）合同；（2）国家有关的验收标准及规范；（3）竞争性磋商文件及竞争性磋商响应文件。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剩余合同价款按季度进行结算，每季度末</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剩余合同价款按季度进行结算，每季度末</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1、甲乙双方必须遵守本合同并执行合同中的各项规定，保证本合同的正常履行。 2、如因乙方工作人员在履行职务过程中的疏忽、失职、过错等故意或者过失原因给甲方造成损失或侵害，包括但不限于甲方本身的财产损失、由此而导致的甲方对任何第三方的法律责任等，乙方对此均应承担全部的赔偿责任。 3、乙方所提供的服务如不符合国家质量标准相关法律、法规规定、采购文件要求，应及时处理，处理不及时的按逾期交付处罚；因质量问题甲方不同意接收的或特殊情况甲方同意接收的，乙方应向甲方支付违约货款额5%违约金并赔偿甲方经济损失。 4、乙方提供的服务如侵犯第三方合法权益而引发的任何纠纷或诉讼，均由乙方负责交涉并承担全部责任。 5、乙方未按本合同和响应文件中规定的服务承诺提供售后服务的，乙方应按本合同合计金额5%向甲方支付违约金。 （二）解决争议的方法：向有管辖权的人民法院提起诉讼。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合同实施：（1）成交供应商应在合同签订后尽快安排人员与采购单位就服务工作进行安排、部署。（2）若因成交供应商原因未能在服务期内完成合同规定的义务，由此对采购人造成的延误和一切损失，由成交供应商承担和赔偿。 2、项目进度款实际支付进度以财政资金拨付进度为准，甲方每次支付合同价款前，乙方均应提供符合税务要求的发票。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1、提供合格有效的法人或者其他组织的营业执照等证明文件，自然人的身份证明；（供应商是法人或其他组织的应提供营业执照等证明文件，供应商是自然人的应提供有效的自然人身份证明）。 2、提供【2023或2024年度经审计的已赋码且完整的财务报告；（成立时间至递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 3、提供递交响应文件截止日前一年内任意一个月的依法缴纳税收的完税证明，完税证明应有税务机关或代收机关的公章或业务专用章。依法免税或无须缴纳税收的供应商，应提供相关证明材料。 4、提供递交响应文件截止日前一年内任意一个月的社会保障资金缴存单据或社保机构开具的社会保险参保缴费情况证明，依法不需要缴纳社会保障资金的单位应提供相关证明材料。 5、提供具有履行合同所必需的设备和专业技术能力的承诺。 6、提供参加政府采购活动前3年内，在经营活动中没有重大违法记录的书面声明。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5资格证明文件.docx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提供【2023或2024年度经审计的已赋码且完整的财务报告；（成立时间至递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5资格证明文件.docx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4供应商承诺书.docx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法定代表人授权书（附法定代表人、被授权人身份证复印件）及被授权人在磋商截止日前一年内已缴存的至少一个月的社会保险参保缴费证明；（法定代表人直接参加磋商，须提供法定代表人身份证明）。</w:t>
            </w:r>
          </w:p>
        </w:tc>
        <w:tc>
          <w:tcPr>
            <w:tcW w:type="dxa" w:w="1661"/>
          </w:tcPr>
          <w:p>
            <w:pPr>
              <w:pStyle w:val="null3"/>
            </w:pPr>
            <w:r>
              <w:rPr>
                <w:rFonts w:ascii="仿宋_GB2312" w:hAnsi="仿宋_GB2312" w:cs="仿宋_GB2312" w:eastAsia="仿宋_GB2312"/>
              </w:rPr>
              <w:t>5资格证明文件.docx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采购代理机构于本项目单一来源邀请函发出之日至谈判响应文件递交截止日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供应商具备测绘主管部门颁发的测绘资质乙级及以上资质（专业范围应含：工程测量、界限与不动产测绘）。</w:t>
            </w:r>
          </w:p>
        </w:tc>
        <w:tc>
          <w:tcPr>
            <w:tcW w:type="dxa" w:w="1661"/>
          </w:tcPr>
          <w:p>
            <w:pPr>
              <w:pStyle w:val="null3"/>
            </w:pPr>
            <w:r>
              <w:rPr>
                <w:rFonts w:ascii="仿宋_GB2312" w:hAnsi="仿宋_GB2312" w:cs="仿宋_GB2312" w:eastAsia="仿宋_GB2312"/>
              </w:rPr>
              <w:t>5资格证明文件.docx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项目负责人资质</w:t>
            </w:r>
          </w:p>
        </w:tc>
        <w:tc>
          <w:tcPr>
            <w:tcW w:type="dxa" w:w="3322"/>
          </w:tcPr>
          <w:p>
            <w:pPr>
              <w:pStyle w:val="null3"/>
            </w:pPr>
            <w:r>
              <w:rPr>
                <w:rFonts w:ascii="仿宋_GB2312" w:hAnsi="仿宋_GB2312" w:cs="仿宋_GB2312" w:eastAsia="仿宋_GB2312"/>
              </w:rPr>
              <w:t>项目负责人具有注册测绘师资格证书（在本单位注册），并提供2025年1月至今任意一个月的社会保险参保缴费证明。</w:t>
            </w:r>
          </w:p>
        </w:tc>
        <w:tc>
          <w:tcPr>
            <w:tcW w:type="dxa" w:w="1661"/>
          </w:tcPr>
          <w:p>
            <w:pPr>
              <w:pStyle w:val="null3"/>
            </w:pPr>
            <w:r>
              <w:rPr>
                <w:rFonts w:ascii="仿宋_GB2312" w:hAnsi="仿宋_GB2312" w:cs="仿宋_GB2312" w:eastAsia="仿宋_GB2312"/>
              </w:rPr>
              <w:t>5资格证明文件.docx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1磋商报价表.docx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符合磋商文件要求签署盖章</w:t>
            </w:r>
          </w:p>
        </w:tc>
        <w:tc>
          <w:tcPr>
            <w:tcW w:type="dxa" w:w="1661"/>
          </w:tcPr>
          <w:p>
            <w:pPr>
              <w:pStyle w:val="null3"/>
            </w:pPr>
            <w:r>
              <w:rPr>
                <w:rFonts w:ascii="仿宋_GB2312" w:hAnsi="仿宋_GB2312" w:cs="仿宋_GB2312" w:eastAsia="仿宋_GB2312"/>
              </w:rPr>
              <w:t>2磋商方案说明书.docx 中小企业声明函 报价表 3商务条款偏离表.docx 4供应商承诺书.docx 响应文件封面 6其它资料.docx 残疾人福利性单位声明函 标的清单 1磋商报价表.docx 5资格证明文件.docx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响应文件的格式</w:t>
            </w:r>
          </w:p>
        </w:tc>
        <w:tc>
          <w:tcPr>
            <w:tcW w:type="dxa" w:w="3322"/>
          </w:tcPr>
          <w:p>
            <w:pPr>
              <w:pStyle w:val="null3"/>
            </w:pPr>
            <w:r>
              <w:rPr>
                <w:rFonts w:ascii="仿宋_GB2312" w:hAnsi="仿宋_GB2312" w:cs="仿宋_GB2312" w:eastAsia="仿宋_GB2312"/>
              </w:rPr>
              <w:t>符合磋商文件件相关格式要求</w:t>
            </w:r>
          </w:p>
        </w:tc>
        <w:tc>
          <w:tcPr>
            <w:tcW w:type="dxa" w:w="1661"/>
          </w:tcPr>
          <w:p>
            <w:pPr>
              <w:pStyle w:val="null3"/>
            </w:pPr>
            <w:r>
              <w:rPr>
                <w:rFonts w:ascii="仿宋_GB2312" w:hAnsi="仿宋_GB2312" w:cs="仿宋_GB2312" w:eastAsia="仿宋_GB2312"/>
              </w:rPr>
              <w:t>2磋商方案说明书.docx 中小企业声明函 报价表 3商务条款偏离表.docx 4供应商承诺书.docx 响应文件封面 6其它资料.docx 残疾人福利性单位声明函 标的清单 1磋商报价表.docx 5资格证明文件.docx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响应文件封面 标的清单 报价表 1磋商报价表.docx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3商务条款偏离表.docx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满足磋商文件中要求的服务期限</w:t>
            </w:r>
          </w:p>
        </w:tc>
        <w:tc>
          <w:tcPr>
            <w:tcW w:type="dxa" w:w="1661"/>
          </w:tcPr>
          <w:p>
            <w:pPr>
              <w:pStyle w:val="null3"/>
            </w:pPr>
            <w:r>
              <w:rPr>
                <w:rFonts w:ascii="仿宋_GB2312" w:hAnsi="仿宋_GB2312" w:cs="仿宋_GB2312" w:eastAsia="仿宋_GB2312"/>
              </w:rPr>
              <w:t>响应文件封面 标的清单 报价表 1磋商报价表.docx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不存在法律、法规和磋商文件规定的其他无效情形</w:t>
            </w:r>
          </w:p>
        </w:tc>
        <w:tc>
          <w:tcPr>
            <w:tcW w:type="dxa" w:w="1661"/>
          </w:tcPr>
          <w:p>
            <w:pPr>
              <w:pStyle w:val="null3"/>
            </w:pPr>
            <w:r>
              <w:rPr>
                <w:rFonts w:ascii="仿宋_GB2312" w:hAnsi="仿宋_GB2312" w:cs="仿宋_GB2312" w:eastAsia="仿宋_GB2312"/>
              </w:rPr>
              <w:t>响应文件封面 4供应商承诺书.docx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根据本项目实际情况，编制服务方案，应包含①对本项目的理解及编制依据；②测量方案；③资料数据收集方案；④航空拍摄方案。 各部分内容全面详细、阐述条理清晰详尽、符合本项目采购需求得12分；以上分项每缺少一项内容扣3分；有某一项不完整或不符合实际要求或不满足实施要求或套用其他项目内容的每项扣（0-3）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2磋商方案说明书.docx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根据本项目实际情况，编制质量控制措施，应包括①质量控制内容；②质量控制制度；③质量控制措施；④成果质量验收措施；⑤特殊情况（雾霾天、雨天、大风天等恶劣环境）下的进度保障措施和质量保障措施。 各部分内容全面详细、阐述条理清晰详尽、符合本项目采购需求得15分；以上分项每缺少一项内容扣3分；有某一项不完整或不符合实际要求或不满足实施要求或套用其他项目内容的每项扣（0-3）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2磋商方案说明书.docx</w:t>
            </w:r>
          </w:p>
        </w:tc>
      </w:tr>
      <w:tr>
        <w:tc>
          <w:tcPr>
            <w:tcW w:type="dxa" w:w="831"/>
            <w:vMerge/>
          </w:tcPr>
          <w:p/>
        </w:tc>
        <w:tc>
          <w:tcPr>
            <w:tcW w:type="dxa" w:w="1661"/>
          </w:tcPr>
          <w:p>
            <w:pPr>
              <w:pStyle w:val="null3"/>
            </w:pPr>
            <w:r>
              <w:rPr>
                <w:rFonts w:ascii="仿宋_GB2312" w:hAnsi="仿宋_GB2312" w:cs="仿宋_GB2312" w:eastAsia="仿宋_GB2312"/>
              </w:rPr>
              <w:t>进度安排方案</w:t>
            </w:r>
          </w:p>
        </w:tc>
        <w:tc>
          <w:tcPr>
            <w:tcW w:type="dxa" w:w="2492"/>
          </w:tcPr>
          <w:p>
            <w:pPr>
              <w:pStyle w:val="null3"/>
            </w:pPr>
            <w:r>
              <w:rPr>
                <w:rFonts w:ascii="仿宋_GB2312" w:hAnsi="仿宋_GB2312" w:cs="仿宋_GB2312" w:eastAsia="仿宋_GB2312"/>
              </w:rPr>
              <w:t>根据本项目要求，编制进度安排方案，应包括：①项目总体进度安排；②项目进度安排；③进度保障措施。 各部分内容全面详细、阐述条理清晰详尽、符合本项目采购需求得9分；以上分项每缺少一项内容扣3分；有某一项不完整或不符合实际要求或不满足实施要求或套用其他项目内容的每项扣（0-3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2磋商方案说明书.docx</w:t>
            </w:r>
          </w:p>
        </w:tc>
      </w:tr>
      <w:tr>
        <w:tc>
          <w:tcPr>
            <w:tcW w:type="dxa" w:w="831"/>
            <w:vMerge/>
          </w:tcPr>
          <w:p/>
        </w:tc>
        <w:tc>
          <w:tcPr>
            <w:tcW w:type="dxa" w:w="1661"/>
          </w:tcPr>
          <w:p>
            <w:pPr>
              <w:pStyle w:val="null3"/>
            </w:pPr>
            <w:r>
              <w:rPr>
                <w:rFonts w:ascii="仿宋_GB2312" w:hAnsi="仿宋_GB2312" w:cs="仿宋_GB2312" w:eastAsia="仿宋_GB2312"/>
              </w:rPr>
              <w:t>安全保障措施及应急预案</w:t>
            </w:r>
          </w:p>
        </w:tc>
        <w:tc>
          <w:tcPr>
            <w:tcW w:type="dxa" w:w="2492"/>
          </w:tcPr>
          <w:p>
            <w:pPr>
              <w:pStyle w:val="null3"/>
            </w:pPr>
            <w:r>
              <w:rPr>
                <w:rFonts w:ascii="仿宋_GB2312" w:hAnsi="仿宋_GB2312" w:cs="仿宋_GB2312" w:eastAsia="仿宋_GB2312"/>
              </w:rPr>
              <w:t>根据项目要求，编制安全保障措施及应急预案，应包括：①安全保障制度；②安全保障措施；③项目可能出现的突发情况；④应急预案。 各部分内容全面详细、阐述条理清晰详尽、符合本项目采购需求得12分；以上分项每缺少一项内容扣3分；有某一项不完整或不符合实际要求或不满足实施要求或套用其他项目内容的每项扣（0-3）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2磋商方案说明书.docx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根据本项目实际情况，编制保密措施，保密措施应包括①保密制度；②保密措施；③保密承诺。 各部分内容全面详细、阐述条理清晰详尽、符合本项目采购需求得9分；以上分项每缺少一项内容扣3分；有某一项不完整或不符合实际要求或不满足实施要求或套用其他项目内容的每项扣（0-3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2磋商方案说明书.docx</w:t>
            </w:r>
          </w:p>
        </w:tc>
      </w:tr>
      <w:tr>
        <w:tc>
          <w:tcPr>
            <w:tcW w:type="dxa" w:w="831"/>
            <w:vMerge/>
          </w:tcPr>
          <w:p/>
        </w:tc>
        <w:tc>
          <w:tcPr>
            <w:tcW w:type="dxa" w:w="1661"/>
          </w:tcPr>
          <w:p>
            <w:pPr>
              <w:pStyle w:val="null3"/>
            </w:pPr>
            <w:r>
              <w:rPr>
                <w:rFonts w:ascii="仿宋_GB2312" w:hAnsi="仿宋_GB2312" w:cs="仿宋_GB2312" w:eastAsia="仿宋_GB2312"/>
              </w:rPr>
              <w:t>拟投入的设备</w:t>
            </w:r>
          </w:p>
        </w:tc>
        <w:tc>
          <w:tcPr>
            <w:tcW w:type="dxa" w:w="2492"/>
          </w:tcPr>
          <w:p>
            <w:pPr>
              <w:pStyle w:val="null3"/>
            </w:pPr>
            <w:r>
              <w:rPr>
                <w:rFonts w:ascii="仿宋_GB2312" w:hAnsi="仿宋_GB2312" w:cs="仿宋_GB2312" w:eastAsia="仿宋_GB2312"/>
              </w:rPr>
              <w:t>拟投入的设备必须满足本项目实际需求，并从①设备性能；②数量及种类；体现拟投入设备的合理性和必要性。 各部分内容全面详细、阐述条理清晰详尽、符合本项目采购需求得6分；以上分项每缺少一项内容扣3分；有某一项不完整或不符合实际要求或不满足实施要求或套用其他项目内容的每项扣（0-3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2磋商方案说明书.docx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1、职称：相关专业高级及以上职称证书，得2分；其他不得分； 2、学历：具有本科及以上学历，得1分；其他不得分。 备注：以上两项须提供相应证书证明材料。</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2磋商方案说明书.docx</w:t>
            </w:r>
          </w:p>
        </w:tc>
      </w:tr>
      <w:tr>
        <w:tc>
          <w:tcPr>
            <w:tcW w:type="dxa" w:w="831"/>
            <w:vMerge/>
          </w:tcPr>
          <w:p/>
        </w:tc>
        <w:tc>
          <w:tcPr>
            <w:tcW w:type="dxa" w:w="1661"/>
          </w:tcPr>
          <w:p>
            <w:pPr>
              <w:pStyle w:val="null3"/>
            </w:pPr>
            <w:r>
              <w:rPr>
                <w:rFonts w:ascii="仿宋_GB2312" w:hAnsi="仿宋_GB2312" w:cs="仿宋_GB2312" w:eastAsia="仿宋_GB2312"/>
              </w:rPr>
              <w:t>拟派服务团队</w:t>
            </w:r>
          </w:p>
        </w:tc>
        <w:tc>
          <w:tcPr>
            <w:tcW w:type="dxa" w:w="2492"/>
          </w:tcPr>
          <w:p>
            <w:pPr>
              <w:pStyle w:val="null3"/>
            </w:pPr>
            <w:r>
              <w:rPr>
                <w:rFonts w:ascii="仿宋_GB2312" w:hAnsi="仿宋_GB2312" w:cs="仿宋_GB2312" w:eastAsia="仿宋_GB2312"/>
              </w:rPr>
              <w:t>投入本项目的专业服务团队人员满足项目需求，应包括：①配备人员数量；②专业人员配置齐全；③人员安排分工明确。 各部分内容全面详细、阐述条理清晰详尽、符合本项目采购需求得6分；以上分项每缺少一项内容扣2分；有某一项不完整或不符合实际要求或不满足实施要求或套用其他项目内容的每项扣（0-2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2磋商方案说明书.docx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针对本项目特点，提供本项目服务承诺，应包含：①服务质量承诺；②响应时间承诺；③技术资源承诺；④服务过程中的人员到岗情况。 各部分内容全面详细、阐述条理清晰详尽、符合本项目采购需求得8分；以上分项每缺少一项内容扣2分；有某一项不完整或不符合实际要求或不满足实施要求或套用其他项目内容的每项扣（0-2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提供供应商具有2022年6月1日至今的类似项目业绩（以合同签订日期为准），每提供一份有效业绩得2分，满分10分。（备注：业绩证明以响应文件中所附合同复印件加盖公章为准。）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2磋商方案说明书.docx</w:t>
            </w:r>
          </w:p>
          <w:p>
            <w:pPr>
              <w:pStyle w:val="null3"/>
            </w:pPr>
            <w:r>
              <w:rPr>
                <w:rFonts w:ascii="仿宋_GB2312" w:hAnsi="仿宋_GB2312" w:cs="仿宋_GB2312" w:eastAsia="仿宋_GB2312"/>
              </w:rPr>
              <w:t>6其它资料.docx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详见附件：1磋商报价表.docx</w:t>
      </w:r>
    </w:p>
    <w:p>
      <w:pPr>
        <w:pStyle w:val="null3"/>
        <w:ind w:firstLine="960"/>
      </w:pPr>
      <w:r>
        <w:rPr>
          <w:rFonts w:ascii="仿宋_GB2312" w:hAnsi="仿宋_GB2312" w:cs="仿宋_GB2312" w:eastAsia="仿宋_GB2312"/>
        </w:rPr>
        <w:t>详见附件：2磋商方案说明书.docx</w:t>
      </w:r>
    </w:p>
    <w:p>
      <w:pPr>
        <w:pStyle w:val="null3"/>
        <w:ind w:firstLine="960"/>
      </w:pPr>
      <w:r>
        <w:rPr>
          <w:rFonts w:ascii="仿宋_GB2312" w:hAnsi="仿宋_GB2312" w:cs="仿宋_GB2312" w:eastAsia="仿宋_GB2312"/>
        </w:rPr>
        <w:t>详见附件：3商务条款偏离表.docx</w:t>
      </w:r>
    </w:p>
    <w:p>
      <w:pPr>
        <w:pStyle w:val="null3"/>
        <w:ind w:firstLine="960"/>
      </w:pPr>
      <w:r>
        <w:rPr>
          <w:rFonts w:ascii="仿宋_GB2312" w:hAnsi="仿宋_GB2312" w:cs="仿宋_GB2312" w:eastAsia="仿宋_GB2312"/>
        </w:rPr>
        <w:t>详见附件：4供应商承诺书.docx</w:t>
      </w:r>
    </w:p>
    <w:p>
      <w:pPr>
        <w:pStyle w:val="null3"/>
        <w:ind w:firstLine="960"/>
      </w:pPr>
      <w:r>
        <w:rPr>
          <w:rFonts w:ascii="仿宋_GB2312" w:hAnsi="仿宋_GB2312" w:cs="仿宋_GB2312" w:eastAsia="仿宋_GB2312"/>
        </w:rPr>
        <w:t>详见附件：5资格证明文件.docx</w:t>
      </w:r>
    </w:p>
    <w:p>
      <w:pPr>
        <w:pStyle w:val="null3"/>
        <w:ind w:firstLine="960"/>
      </w:pPr>
      <w:r>
        <w:rPr>
          <w:rFonts w:ascii="仿宋_GB2312" w:hAnsi="仿宋_GB2312" w:cs="仿宋_GB2312" w:eastAsia="仿宋_GB2312"/>
        </w:rPr>
        <w:t>详见附件：6其它资料.docx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