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版本号：HXGJXM2025-ZC-CS105920250623002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教学楼楼顶防水工程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HXGJXM2025-ZC-CS1059</w:t>
      </w:r>
      <w:r>
        <w:br/>
      </w:r>
      <w:r>
        <w:br/>
      </w:r>
      <w:r>
        <w:br/>
      </w:r>
    </w:p>
    <w:p>
      <w:pPr>
        <w:pStyle w:val="null3"/>
        <w:jc w:val="center"/>
        <w:outlineLvl w:val="2"/>
      </w:pPr>
      <w:r>
        <w:rPr>
          <w:rFonts w:ascii="仿宋_GB2312" w:hAnsi="仿宋_GB2312" w:cs="仿宋_GB2312" w:eastAsia="仿宋_GB2312"/>
          <w:sz w:val="28"/>
          <w:b/>
        </w:rPr>
        <w:t>西安市雁塔区航天小学</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西安市雁塔区航天小学</w:t>
      </w:r>
      <w:r>
        <w:rPr>
          <w:rFonts w:ascii="仿宋_GB2312" w:hAnsi="仿宋_GB2312" w:cs="仿宋_GB2312" w:eastAsia="仿宋_GB2312"/>
        </w:rPr>
        <w:t>委托，拟对</w:t>
      </w:r>
      <w:r>
        <w:rPr>
          <w:rFonts w:ascii="仿宋_GB2312" w:hAnsi="仿宋_GB2312" w:cs="仿宋_GB2312" w:eastAsia="仿宋_GB2312"/>
        </w:rPr>
        <w:t>教学楼楼顶防水工程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教学楼楼顶防水工程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本工程为西安市雁塔区航天小学教学楼楼顶防水工程。建设地点位于 西安市长安区航天西路21号；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采购包1（西安市雁塔区航天小学教学楼楼顶防水工程）：属于专门面向中小企业采购。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1、项目负责人：项目负责人需具备建筑工程专业二级及以上注册建造师执业资格和有效的安全生产考核证书（B证）在本单位注册，且无在建工程、无不良记录（提供无在建工程、无不良记录承诺书）；</w:t>
      </w:r>
    </w:p>
    <w:p>
      <w:pPr>
        <w:pStyle w:val="null3"/>
      </w:pPr>
      <w:r>
        <w:rPr>
          <w:rFonts w:ascii="仿宋_GB2312" w:hAnsi="仿宋_GB2312" w:cs="仿宋_GB2312" w:eastAsia="仿宋_GB2312"/>
        </w:rPr>
        <w:t>2、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3、单位资质：供应商应具备建设行政主管部门核发的防水防腐保温工程专业承包二级及以上资质，具有有效的安全生产许可证；</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西安市雁塔区航天小学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航天西路21号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029-85208466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采购包1：484,757.69元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代理服务费收费标准：定额收取：8000元；户名：华夏国际项目管理（西安）有限公司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西安市雁塔区航天小学</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西安市雁塔区航天小学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西安市雁塔区航天小学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联系人：魏依依、康敏茹、雷鸣、张艳萍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484,757.69</w:t>
      </w:r>
    </w:p>
    <w:p>
      <w:pPr>
        <w:pStyle w:val="null3"/>
      </w:pPr>
      <w:r>
        <w:rPr>
          <w:rFonts w:ascii="仿宋_GB2312" w:hAnsi="仿宋_GB2312" w:cs="仿宋_GB2312" w:eastAsia="仿宋_GB2312"/>
        </w:rPr>
        <w:t>采购包最高限价（元）: 484,757.69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西安市雁塔区航天小学教学楼楼顶防水工程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484,757.69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标的名称：西安市雁塔区航天小学教学楼楼顶防水工程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工程概况</w:t>
            </w:r>
          </w:p>
          <w:p>
            <w:pPr>
              <w:pStyle w:val="null3"/>
              <w:ind w:firstLine="560"/>
              <w:jc w:val="left"/>
            </w:pPr>
            <w:r>
              <w:rPr>
                <w:rFonts w:ascii="仿宋_GB2312" w:hAnsi="仿宋_GB2312" w:cs="仿宋_GB2312" w:eastAsia="仿宋_GB2312"/>
              </w:rPr>
              <w:t>本工程为西安市雁塔区航天小学教学楼楼顶防水工程。建设地点位于 西安市长安区航天西路21号。</w:t>
            </w:r>
          </w:p>
          <w:p>
            <w:pPr>
              <w:pStyle w:val="null3"/>
              <w:ind w:firstLine="560"/>
              <w:jc w:val="left"/>
            </w:pPr>
            <w:r>
              <w:rPr>
                <w:rFonts w:ascii="仿宋_GB2312" w:hAnsi="仿宋_GB2312" w:cs="仿宋_GB2312" w:eastAsia="仿宋_GB2312"/>
                <w:b/>
              </w:rPr>
              <w:t>二、</w:t>
            </w:r>
            <w:r>
              <w:rPr>
                <w:rFonts w:ascii="仿宋_GB2312" w:hAnsi="仿宋_GB2312" w:cs="仿宋_GB2312" w:eastAsia="仿宋_GB2312"/>
                <w:b/>
              </w:rPr>
              <w:t>编制依据</w:t>
            </w:r>
          </w:p>
          <w:p>
            <w:pPr>
              <w:pStyle w:val="null3"/>
              <w:ind w:firstLine="560"/>
              <w:jc w:val="both"/>
            </w:pPr>
            <w:r>
              <w:rPr>
                <w:rFonts w:ascii="仿宋_GB2312" w:hAnsi="仿宋_GB2312" w:cs="仿宋_GB2312" w:eastAsia="仿宋_GB2312"/>
              </w:rPr>
              <w:t>1、《陕西省建设工程工程量清单计价规则（2009）》（以下简称计价规则）。</w:t>
            </w:r>
          </w:p>
          <w:p>
            <w:pPr>
              <w:pStyle w:val="null3"/>
              <w:ind w:firstLine="56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陕西省建筑、装饰、安装、市政、园林绿化工程消耗量定额及补充定额（2004）</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陕西省建筑、装饰、安装、市政、园林绿化工程价目表（2009）</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陕西省建设工程施工机械台班价目表（2009）</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陕西省建设工程工程量清单计价费率（2009）</w:t>
            </w:r>
            <w:r>
              <w:rPr>
                <w:rFonts w:ascii="仿宋_GB2312" w:hAnsi="仿宋_GB2312" w:cs="仿宋_GB2312" w:eastAsia="仿宋_GB2312"/>
              </w:rPr>
              <w:t>》</w:t>
            </w:r>
            <w:r>
              <w:rPr>
                <w:rFonts w:ascii="仿宋_GB2312" w:hAnsi="仿宋_GB2312" w:cs="仿宋_GB2312" w:eastAsia="仿宋_GB2312"/>
              </w:rPr>
              <w:t>及其他相关文件</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4、</w:t>
            </w:r>
            <w:r>
              <w:rPr>
                <w:rFonts w:ascii="仿宋_GB2312" w:hAnsi="仿宋_GB2312" w:cs="仿宋_GB2312" w:eastAsia="仿宋_GB2312"/>
              </w:rPr>
              <w:t>正常施工组织设计及施工方法</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5、工程施工验收规范</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6、</w:t>
            </w:r>
            <w:r>
              <w:rPr>
                <w:rFonts w:ascii="仿宋_GB2312" w:hAnsi="仿宋_GB2312" w:cs="仿宋_GB2312" w:eastAsia="仿宋_GB2312"/>
              </w:rPr>
              <w:t>关于调整陕西省建设工程计价依据的通知</w:t>
            </w:r>
            <w:r>
              <w:rPr>
                <w:rFonts w:ascii="仿宋_GB2312" w:hAnsi="仿宋_GB2312" w:cs="仿宋_GB2312" w:eastAsia="仿宋_GB2312"/>
              </w:rPr>
              <w:t>（陕建发[201</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号）文件</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7</w:t>
            </w:r>
            <w:r>
              <w:rPr>
                <w:rFonts w:ascii="仿宋_GB2312" w:hAnsi="仿宋_GB2312" w:cs="仿宋_GB2312" w:eastAsia="仿宋_GB2312"/>
              </w:rPr>
              <w:t>、关于增加建设工程扬尘治理专项措施费的通知（陕建发〔2017〕270号）文件</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8</w:t>
            </w:r>
            <w:r>
              <w:rPr>
                <w:rFonts w:ascii="仿宋_GB2312" w:hAnsi="仿宋_GB2312" w:cs="仿宋_GB2312" w:eastAsia="仿宋_GB2312"/>
              </w:rPr>
              <w:t>、关于调整房屋建筑和市政基础设施工程工程量清单计价综合人工单价计价的通知陕建发[20</w:t>
            </w: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号文件</w:t>
            </w:r>
            <w:r>
              <w:rPr>
                <w:rFonts w:ascii="仿宋_GB2312" w:hAnsi="仿宋_GB2312" w:cs="仿宋_GB2312" w:eastAsia="仿宋_GB2312"/>
              </w:rPr>
              <w:t>。</w:t>
            </w:r>
          </w:p>
          <w:p>
            <w:pPr>
              <w:pStyle w:val="null3"/>
              <w:ind w:firstLine="560"/>
              <w:jc w:val="both"/>
            </w:pPr>
            <w:r>
              <w:rPr>
                <w:rFonts w:ascii="仿宋_GB2312" w:hAnsi="仿宋_GB2312" w:cs="仿宋_GB2312" w:eastAsia="仿宋_GB2312"/>
              </w:rPr>
              <w:t>9、关于建筑工人实名制管理计价依据的通知（陕建发[2019]1246号）文件。</w:t>
            </w:r>
          </w:p>
          <w:p>
            <w:pPr>
              <w:pStyle w:val="null3"/>
              <w:ind w:firstLine="560"/>
              <w:jc w:val="both"/>
            </w:pPr>
            <w:r>
              <w:rPr>
                <w:rFonts w:ascii="仿宋_GB2312" w:hAnsi="仿宋_GB2312" w:cs="仿宋_GB2312" w:eastAsia="仿宋_GB2312"/>
              </w:rPr>
              <w:t>10、关于全省统一停止收缴建筑业劳保费用的通知（陕建发[2021]1021号）文件。</w:t>
            </w:r>
          </w:p>
          <w:p>
            <w:pPr>
              <w:pStyle w:val="null3"/>
              <w:ind w:firstLine="560"/>
              <w:jc w:val="both"/>
            </w:pPr>
            <w:r>
              <w:rPr>
                <w:rFonts w:ascii="仿宋_GB2312" w:hAnsi="仿宋_GB2312" w:cs="仿宋_GB2312" w:eastAsia="仿宋_GB2312"/>
                <w:b/>
              </w:rPr>
              <w:t>三、</w:t>
            </w:r>
            <w:r>
              <w:rPr>
                <w:rFonts w:ascii="仿宋_GB2312" w:hAnsi="仿宋_GB2312" w:cs="仿宋_GB2312" w:eastAsia="仿宋_GB2312"/>
                <w:b/>
              </w:rPr>
              <w:t>编制说明</w:t>
            </w:r>
          </w:p>
          <w:p>
            <w:pPr>
              <w:pStyle w:val="null3"/>
              <w:ind w:firstLine="560"/>
              <w:jc w:val="both"/>
            </w:pPr>
            <w:r>
              <w:rPr>
                <w:rFonts w:ascii="仿宋_GB2312" w:hAnsi="仿宋_GB2312" w:cs="仿宋_GB2312" w:eastAsia="仿宋_GB2312"/>
              </w:rPr>
              <w:t>1、</w:t>
            </w:r>
            <w:r>
              <w:rPr>
                <w:rFonts w:ascii="仿宋_GB2312" w:hAnsi="仿宋_GB2312" w:cs="仿宋_GB2312" w:eastAsia="仿宋_GB2312"/>
              </w:rPr>
              <w:t>人工费调整执行陕建发[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号文，建筑、市政、安装工程综合人工单价为</w:t>
            </w:r>
            <w:r>
              <w:rPr>
                <w:rFonts w:ascii="仿宋_GB2312" w:hAnsi="仿宋_GB2312" w:cs="仿宋_GB2312" w:eastAsia="仿宋_GB2312"/>
              </w:rPr>
              <w:t>136</w:t>
            </w:r>
            <w:r>
              <w:rPr>
                <w:rFonts w:ascii="仿宋_GB2312" w:hAnsi="仿宋_GB2312" w:cs="仿宋_GB2312" w:eastAsia="仿宋_GB2312"/>
              </w:rPr>
              <w:t>元/工日，装饰工程综合人工单价为</w:t>
            </w:r>
            <w:r>
              <w:rPr>
                <w:rFonts w:ascii="仿宋_GB2312" w:hAnsi="仿宋_GB2312" w:cs="仿宋_GB2312" w:eastAsia="仿宋_GB2312"/>
              </w:rPr>
              <w:t>146元</w:t>
            </w:r>
            <w:r>
              <w:rPr>
                <w:rFonts w:ascii="仿宋_GB2312" w:hAnsi="仿宋_GB2312" w:cs="仿宋_GB2312" w:eastAsia="仿宋_GB2312"/>
              </w:rPr>
              <w:t>/工日。</w:t>
            </w:r>
          </w:p>
          <w:p>
            <w:pPr>
              <w:pStyle w:val="null3"/>
              <w:ind w:firstLine="560"/>
              <w:jc w:val="both"/>
            </w:pPr>
            <w:r>
              <w:rPr>
                <w:rFonts w:ascii="仿宋_GB2312" w:hAnsi="仿宋_GB2312" w:cs="仿宋_GB2312" w:eastAsia="仿宋_GB2312"/>
              </w:rPr>
              <w:t>2、税金依据陕建发[2019]45号文件规定的增值税税率9%执行。</w:t>
            </w:r>
          </w:p>
          <w:p>
            <w:pPr>
              <w:pStyle w:val="null3"/>
              <w:ind w:firstLine="560"/>
              <w:jc w:val="both"/>
            </w:pPr>
            <w:r>
              <w:rPr>
                <w:rFonts w:ascii="仿宋_GB2312" w:hAnsi="仿宋_GB2312" w:cs="仿宋_GB2312" w:eastAsia="仿宋_GB2312"/>
              </w:rPr>
              <w:t>3、养老保险计入工程造价中。</w:t>
            </w:r>
          </w:p>
          <w:p>
            <w:pPr>
              <w:pStyle w:val="null3"/>
              <w:ind w:firstLine="560"/>
              <w:jc w:val="both"/>
            </w:pPr>
            <w:r>
              <w:rPr>
                <w:rFonts w:ascii="仿宋_GB2312" w:hAnsi="仿宋_GB2312" w:cs="仿宋_GB2312" w:eastAsia="仿宋_GB2312"/>
              </w:rPr>
              <w:t>4、本工程主要材料价格参照2025年5月陕西工程造价管理信息（材料信息价），信息价中没有的材料价格以市场价计入。</w:t>
            </w:r>
          </w:p>
          <w:p>
            <w:pPr>
              <w:pStyle w:val="null3"/>
              <w:ind w:firstLine="560"/>
              <w:jc w:val="both"/>
            </w:pPr>
            <w:r>
              <w:rPr>
                <w:rFonts w:ascii="仿宋_GB2312" w:hAnsi="仿宋_GB2312" w:cs="仿宋_GB2312" w:eastAsia="仿宋_GB2312"/>
              </w:rPr>
              <w:t>5、本工程量清单采用广联达计价软件GCCP6.0（版本：6.4100.23.122）编制。</w:t>
            </w:r>
          </w:p>
          <w:p>
            <w:pPr>
              <w:pStyle w:val="null3"/>
              <w:ind w:firstLine="560"/>
              <w:jc w:val="both"/>
            </w:pPr>
            <w:r>
              <w:rPr>
                <w:rFonts w:ascii="仿宋_GB2312" w:hAnsi="仿宋_GB2312" w:cs="仿宋_GB2312" w:eastAsia="仿宋_GB2312"/>
              </w:rPr>
              <w:t>6、具体内容详见电子招标书</w:t>
            </w:r>
          </w:p>
          <w:p>
            <w:pPr>
              <w:pStyle w:val="null3"/>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《建设工程质量管理条例》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3.1施工工期 ：自合同签订之日起25日历日。 3.2建设地点 采购包1：西安市长安区航天西路21号 3.3支付方式 分期付款 3.4支付约定 （1）合同签订后15日内支付合同总价款40%作为预付款；（2）当承包人完成全部合同工程量、工程竣工，经发包人验收合格，承包人将竣工资料及相关质量证明文件交付发包人并完成工程审计后 ，达到付款条件起20日内，支付至最终审定决算价款。（3）付款前供应商需提前向甲方提供足额发票。 3.5验收标准和方法 ：达到工程质量验收合格标准。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在施工期间，中标供应商必须注意院内人员安全，加强安全措施，并对施工人员进行安全教育。施工人员必须持证上岗。因采购人工作的特殊性，要求中标供应商在施工中做到封闭性施工。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项目负责人需具备建筑工程专业二级及以上注册建造师执业资格和有效的安全生产考核证书（B证）在本单位注册，且无在建工程、无不良记录（提供无在建工程、无不良记录承诺书）；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供应商应具备建设行政主管部门核发的防水防腐保温工程专业承包二级及以上资质，具有有效的安全生产许可证；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项目管理机构组成表 磋商方案说明.docx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2、实施方案详细、完整，可行、有针对性，满足项目实施的得8分； 3、实施方案比较详细完整、可行，较利于项目实施的得5分； 4、实施方案基本可行，基本满足项目实施需要的得2分; 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1、提供的安全作业方案及安全配套措施具体、详细，完全符合并优于采购人安全作业的要求，得5分； 2、提供安全作业方案及安全配套措施较详细、较完整，符合采购人安全作业的要求，得3分； 3、提供安全作业方案及安全配套措施基本合理可行，符合采购人安全作业的要求，得2分； 4、提供的安全作业方案及安全配套措施简单，基本符合采购人安全作业的要求，得1分。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3、措施计划较齐全、合理、基本可行，基本满足采购人需求得2分； 4、措施计划基本完备齐全、合理性、可行性较差，得1分； 5、未提供得0分。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 10 分，每缺一项内容扣 2 分，若上述内容存在瑕疵，每存在 1 处瑕疵扣0-1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配备分工及配合协调措施</w:t>
            </w:r>
          </w:p>
        </w:tc>
        <w:tc>
          <w:tcPr>
            <w:tcW w:type="dxa" w:w="2492"/>
          </w:tcPr>
          <w:p>
            <w:pPr>
              <w:pStyle w:val="null3"/>
            </w:pPr>
            <w:r>
              <w:rPr>
                <w:rFonts w:ascii="仿宋_GB2312" w:hAnsi="仿宋_GB2312" w:cs="仿宋_GB2312" w:eastAsia="仿宋_GB2312"/>
              </w:rPr>
              <w:t>1、配备分工合理，岗位间配合协调措施完善，得5分； 2、配备分工有一定合理性，岗位间配合协调措施较完善，得3分； 3、配备分工无针对性，岗位间协调配合措施简单笼统，得1分。未提供不得分。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1、人员专业技术能力强，岗位职责清晰，得5分； 2、人员有一定的专业技术能力，岗位职责较清晰，得3分； 3、人员专业技术能力欠缺，得1分。未提供不得分。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1、拟投入的机械设备数量充足，与项目匹配度高，劳动力配置合理，完全满足项目需要，得5分； 2、拟投入的机械设备数量、与项目基本匹配，劳动力配置较合理，基本满足项目需要，得3分； 3、拟投入的机械设备和劳动力配置简单，无针对性，得1分。未提供不得分。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1、风险预测与防范内容完善，针对性强，预案及措施科学合理可行性强，得5分； 2、风险预测与防范内容较完善，预案及措施有一定针对性和可行性强，得3分； 3、风险预测与防范内容、预案及措施内容简单笼统，无针对性，得1分。未提供不得分。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1、进度计划安排合理、措施有效，工期目标明确，满足采购人要求，得5分；2、进度计划安排较合理、措施较有效，工期目标基本清晰，基本满足采购人要求，得3分； 3、进度计划和工期目标内容简单笼统，无针对性，得1分。未提供不得分。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提供供应商2022年6月1日至今（以合同的签订日期为准）承接过类似项目（类似项目定义：防水工程）的合同证明（每提供一个得3分，满分15分）（合同内容须清晰可辨认，无涂改，否则视为无效合同）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2、有效最低报价为磋商基准价。3、磋商报价按（磋商基准价/有效磋商报价）×30的公式计算其得分。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