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AA885">
      <w:pPr>
        <w:keepNext w:val="0"/>
        <w:keepLines w:val="0"/>
        <w:pageBreakBefore w:val="0"/>
        <w:widowControl w:val="0"/>
        <w:wordWrap/>
        <w:overflowPunct/>
        <w:topLinePunct w:val="0"/>
        <w:autoSpaceDE w:val="0"/>
        <w:autoSpaceDN w:val="0"/>
        <w:bidi w:val="0"/>
        <w:adjustRightInd w:val="0"/>
        <w:snapToGrid w:val="0"/>
        <w:spacing w:line="360" w:lineRule="auto"/>
        <w:jc w:val="center"/>
        <w:textAlignment w:val="baseline"/>
        <w:rPr>
          <w:rFonts w:hint="default"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eastAsia="zh-CN"/>
        </w:rPr>
        <w:t>提前下达 2025 年城乡义务教育补助经费(校舍安全保障长效机制)建设项目</w:t>
      </w:r>
      <w:r>
        <w:rPr>
          <w:rFonts w:hint="eastAsia" w:ascii="宋体" w:hAnsi="宋体" w:eastAsia="宋体" w:cs="宋体"/>
          <w:b/>
          <w:bCs/>
          <w:color w:val="auto"/>
          <w:sz w:val="36"/>
          <w:szCs w:val="36"/>
          <w:highlight w:val="none"/>
          <w:lang w:val="en-US" w:eastAsia="zh-CN"/>
        </w:rPr>
        <w:t>合同</w:t>
      </w:r>
    </w:p>
    <w:p w14:paraId="68944AE7">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u w:val="single"/>
          <w:lang w:eastAsia="zh-CN"/>
        </w:rPr>
      </w:pPr>
      <w:r>
        <w:rPr>
          <w:rFonts w:hint="eastAsia" w:ascii="仿宋" w:hAnsi="仿宋" w:eastAsia="仿宋" w:cs="仿宋"/>
          <w:b/>
          <w:bCs/>
          <w:kern w:val="50"/>
          <w:sz w:val="32"/>
          <w:szCs w:val="32"/>
        </w:rPr>
        <w:t>甲方</w:t>
      </w:r>
      <w:r>
        <w:rPr>
          <w:rFonts w:hint="eastAsia" w:ascii="仿宋" w:hAnsi="仿宋" w:eastAsia="仿宋" w:cs="仿宋"/>
          <w:b w:val="0"/>
          <w:bCs w:val="0"/>
          <w:kern w:val="50"/>
          <w:sz w:val="32"/>
          <w:szCs w:val="32"/>
        </w:rPr>
        <w:t>：</w:t>
      </w:r>
      <w:r>
        <w:rPr>
          <w:rFonts w:hint="eastAsia" w:ascii="仿宋" w:hAnsi="仿宋" w:eastAsia="仿宋" w:cs="仿宋"/>
          <w:b w:val="0"/>
          <w:bCs w:val="0"/>
          <w:color w:val="auto"/>
          <w:kern w:val="50"/>
          <w:sz w:val="32"/>
          <w:szCs w:val="32"/>
          <w:u w:val="single"/>
          <w:lang w:eastAsia="zh-CN"/>
        </w:rPr>
        <w:t>西安市雁塔区第十小学</w:t>
      </w:r>
    </w:p>
    <w:p w14:paraId="363A30F9">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u w:val="none"/>
          <w:lang w:val="en-US" w:eastAsia="zh-CN"/>
        </w:rPr>
      </w:pPr>
      <w:r>
        <w:rPr>
          <w:rFonts w:hint="eastAsia" w:ascii="仿宋" w:hAnsi="仿宋" w:eastAsia="仿宋" w:cs="仿宋"/>
          <w:b w:val="0"/>
          <w:bCs w:val="0"/>
          <w:color w:val="auto"/>
          <w:kern w:val="50"/>
          <w:sz w:val="32"/>
          <w:szCs w:val="32"/>
          <w:u w:val="none"/>
          <w:lang w:val="en-US" w:eastAsia="zh-CN"/>
        </w:rPr>
        <w:t xml:space="preserve">统一社会信用代码： </w:t>
      </w:r>
    </w:p>
    <w:p w14:paraId="15623745">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u w:val="none"/>
          <w:lang w:val="en-US" w:eastAsia="zh-CN"/>
        </w:rPr>
      </w:pPr>
      <w:r>
        <w:rPr>
          <w:rFonts w:hint="eastAsia" w:ascii="仿宋" w:hAnsi="仿宋" w:eastAsia="仿宋" w:cs="仿宋"/>
          <w:b w:val="0"/>
          <w:bCs w:val="0"/>
          <w:color w:val="auto"/>
          <w:kern w:val="50"/>
          <w:sz w:val="32"/>
          <w:szCs w:val="32"/>
          <w:u w:val="none"/>
          <w:lang w:val="en-US" w:eastAsia="zh-CN"/>
        </w:rPr>
        <w:t xml:space="preserve">地址： </w:t>
      </w:r>
    </w:p>
    <w:p w14:paraId="3550B593">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u w:val="none"/>
          <w:lang w:val="en-US" w:eastAsia="zh-CN"/>
        </w:rPr>
      </w:pPr>
      <w:r>
        <w:rPr>
          <w:rFonts w:hint="eastAsia" w:ascii="仿宋" w:hAnsi="仿宋" w:eastAsia="仿宋" w:cs="仿宋"/>
          <w:b w:val="0"/>
          <w:bCs w:val="0"/>
          <w:color w:val="auto"/>
          <w:kern w:val="50"/>
          <w:sz w:val="32"/>
          <w:szCs w:val="32"/>
          <w:u w:val="none"/>
          <w:lang w:val="en-US" w:eastAsia="zh-CN"/>
        </w:rPr>
        <w:t xml:space="preserve">法定代表人： </w:t>
      </w:r>
    </w:p>
    <w:p w14:paraId="21FBAFF4">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u w:val="none"/>
          <w:lang w:val="en-US" w:eastAsia="zh-CN"/>
        </w:rPr>
      </w:pPr>
      <w:r>
        <w:rPr>
          <w:rFonts w:hint="eastAsia" w:ascii="仿宋" w:hAnsi="仿宋" w:eastAsia="仿宋" w:cs="仿宋"/>
          <w:b/>
          <w:bCs/>
          <w:color w:val="auto"/>
          <w:kern w:val="50"/>
          <w:sz w:val="32"/>
          <w:szCs w:val="32"/>
          <w:u w:val="none"/>
          <w:lang w:val="en-US" w:eastAsia="zh-CN"/>
        </w:rPr>
        <w:t>乙方：</w:t>
      </w:r>
      <w:r>
        <w:rPr>
          <w:rFonts w:hint="eastAsia" w:ascii="仿宋" w:hAnsi="仿宋" w:eastAsia="仿宋" w:cs="仿宋"/>
          <w:b w:val="0"/>
          <w:bCs w:val="0"/>
          <w:color w:val="auto"/>
          <w:kern w:val="50"/>
          <w:sz w:val="32"/>
          <w:szCs w:val="32"/>
          <w:u w:val="none"/>
          <w:lang w:val="en-US" w:eastAsia="zh-CN"/>
        </w:rPr>
        <w:t xml:space="preserve">  </w:t>
      </w:r>
      <w:r>
        <w:rPr>
          <w:rFonts w:hint="eastAsia" w:ascii="仿宋" w:hAnsi="仿宋" w:eastAsia="仿宋" w:cs="仿宋"/>
          <w:b w:val="0"/>
          <w:bCs w:val="0"/>
          <w:color w:val="auto"/>
          <w:kern w:val="50"/>
          <w:sz w:val="32"/>
          <w:szCs w:val="32"/>
          <w:u w:val="single"/>
          <w:lang w:val="en-US" w:eastAsia="zh-CN"/>
        </w:rPr>
        <w:t xml:space="preserve">                             </w:t>
      </w:r>
      <w:r>
        <w:rPr>
          <w:rFonts w:hint="eastAsia" w:ascii="仿宋" w:hAnsi="仿宋" w:eastAsia="仿宋" w:cs="仿宋"/>
          <w:b w:val="0"/>
          <w:bCs w:val="0"/>
          <w:color w:val="auto"/>
          <w:kern w:val="50"/>
          <w:sz w:val="32"/>
          <w:szCs w:val="32"/>
          <w:u w:val="none"/>
          <w:lang w:val="en-US" w:eastAsia="zh-CN"/>
        </w:rPr>
        <w:t xml:space="preserve">                       </w:t>
      </w:r>
    </w:p>
    <w:p w14:paraId="4F535A6E">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u w:val="none"/>
          <w:lang w:val="en-US" w:eastAsia="zh-CN"/>
        </w:rPr>
      </w:pPr>
      <w:r>
        <w:rPr>
          <w:rFonts w:hint="eastAsia" w:ascii="仿宋" w:hAnsi="仿宋" w:eastAsia="仿宋" w:cs="仿宋"/>
          <w:b w:val="0"/>
          <w:bCs w:val="0"/>
          <w:color w:val="auto"/>
          <w:kern w:val="50"/>
          <w:sz w:val="32"/>
          <w:szCs w:val="32"/>
          <w:u w:val="none"/>
          <w:lang w:val="en-US" w:eastAsia="zh-CN"/>
        </w:rPr>
        <w:t>统一社会信用代码：</w:t>
      </w:r>
    </w:p>
    <w:p w14:paraId="6AD8266B">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u w:val="none"/>
          <w:lang w:val="en-US" w:eastAsia="zh-CN"/>
        </w:rPr>
      </w:pPr>
      <w:r>
        <w:rPr>
          <w:rFonts w:hint="eastAsia" w:ascii="仿宋" w:hAnsi="仿宋" w:eastAsia="仿宋" w:cs="仿宋"/>
          <w:b w:val="0"/>
          <w:bCs w:val="0"/>
          <w:color w:val="auto"/>
          <w:kern w:val="50"/>
          <w:sz w:val="32"/>
          <w:szCs w:val="32"/>
          <w:u w:val="none"/>
          <w:lang w:val="en-US" w:eastAsia="zh-CN"/>
        </w:rPr>
        <w:t>地址：</w:t>
      </w:r>
    </w:p>
    <w:p w14:paraId="2374EAE1">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default"/>
          <w:b w:val="0"/>
          <w:bCs w:val="0"/>
          <w:color w:val="auto"/>
          <w:kern w:val="50"/>
          <w:sz w:val="32"/>
          <w:szCs w:val="32"/>
          <w:u w:val="single"/>
          <w:lang w:val="en-US" w:eastAsia="zh-CN"/>
        </w:rPr>
      </w:pPr>
      <w:r>
        <w:rPr>
          <w:rFonts w:hint="eastAsia" w:ascii="仿宋" w:hAnsi="仿宋" w:eastAsia="仿宋" w:cs="仿宋"/>
          <w:b w:val="0"/>
          <w:bCs w:val="0"/>
          <w:color w:val="auto"/>
          <w:kern w:val="50"/>
          <w:sz w:val="32"/>
          <w:szCs w:val="32"/>
          <w:u w:val="none"/>
          <w:lang w:val="en-US" w:eastAsia="zh-CN"/>
        </w:rPr>
        <w:t>法定代表人：</w:t>
      </w:r>
    </w:p>
    <w:p w14:paraId="014C2AB5">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依照《中华人民共和国民法典》、《中华人民共和国建筑法》及其他有关法律、行政法规，遵循平等、自愿、公平和诚实信用的原则，甲乙双方就甲方拟建的“</w:t>
      </w:r>
      <w:r>
        <w:rPr>
          <w:rFonts w:hint="eastAsia" w:ascii="仿宋" w:hAnsi="仿宋" w:eastAsia="仿宋" w:cs="仿宋"/>
          <w:color w:val="auto"/>
          <w:kern w:val="50"/>
          <w:sz w:val="28"/>
          <w:szCs w:val="28"/>
          <w:highlight w:val="none"/>
          <w:lang w:val="en-US" w:eastAsia="zh-CN"/>
        </w:rPr>
        <w:t>提前下达 2025 年城乡义务教育补助经费(校舍安全保障长效机制)建设项目合同</w:t>
      </w:r>
      <w:r>
        <w:rPr>
          <w:rFonts w:hint="eastAsia" w:ascii="仿宋" w:hAnsi="仿宋" w:eastAsia="仿宋" w:cs="仿宋"/>
          <w:color w:val="auto"/>
          <w:kern w:val="50"/>
          <w:sz w:val="28"/>
          <w:szCs w:val="28"/>
          <w:highlight w:val="none"/>
        </w:rPr>
        <w:t>”，经过充分的协商，秉着相互理解，齐心协力、同舟共济的理念，共同打造该形象工程的前提下，双方就“</w:t>
      </w:r>
      <w:r>
        <w:rPr>
          <w:rFonts w:hint="eastAsia" w:ascii="仿宋" w:hAnsi="仿宋" w:eastAsia="仿宋" w:cs="仿宋"/>
          <w:bCs/>
          <w:color w:val="auto"/>
          <w:kern w:val="50"/>
          <w:sz w:val="28"/>
          <w:szCs w:val="28"/>
          <w:highlight w:val="none"/>
          <w:lang w:val="en-US" w:eastAsia="zh-CN"/>
        </w:rPr>
        <w:t>提前下达 2025 年城乡义务教育补助经费(校舍安全保障长效机制)建设项目</w:t>
      </w:r>
      <w:r>
        <w:rPr>
          <w:rFonts w:hint="eastAsia" w:ascii="仿宋" w:hAnsi="仿宋" w:eastAsia="仿宋" w:cs="仿宋"/>
          <w:color w:val="auto"/>
          <w:kern w:val="50"/>
          <w:sz w:val="28"/>
          <w:szCs w:val="28"/>
          <w:highlight w:val="none"/>
        </w:rPr>
        <w:t>”协商一致，订立本合同。</w:t>
      </w:r>
    </w:p>
    <w:p w14:paraId="3F3E1416">
      <w:pPr>
        <w:keepNext w:val="0"/>
        <w:keepLines w:val="0"/>
        <w:pageBreakBefore w:val="0"/>
        <w:widowControl w:val="0"/>
        <w:wordWrap/>
        <w:overflowPunct/>
        <w:topLinePunct w:val="0"/>
        <w:autoSpaceDE w:val="0"/>
        <w:autoSpaceDN w:val="0"/>
        <w:bidi w:val="0"/>
        <w:adjustRightInd w:val="0"/>
        <w:snapToGrid w:val="0"/>
        <w:spacing w:line="360" w:lineRule="auto"/>
        <w:ind w:firstLine="560"/>
        <w:textAlignment w:val="baseline"/>
        <w:rPr>
          <w:rFonts w:hint="eastAsia" w:ascii="仿宋" w:hAnsi="仿宋" w:eastAsia="仿宋" w:cs="仿宋"/>
          <w:color w:val="auto"/>
          <w:kern w:val="50"/>
          <w:sz w:val="28"/>
          <w:szCs w:val="28"/>
          <w:highlight w:val="none"/>
        </w:rPr>
      </w:pPr>
      <w:r>
        <w:rPr>
          <w:rFonts w:hint="eastAsia" w:ascii="仿宋" w:hAnsi="仿宋" w:eastAsia="仿宋" w:cs="仿宋"/>
          <w:b/>
          <w:bCs/>
          <w:color w:val="auto"/>
          <w:kern w:val="50"/>
          <w:sz w:val="28"/>
          <w:szCs w:val="28"/>
          <w:highlight w:val="none"/>
        </w:rPr>
        <w:t>一、工程承包范围</w:t>
      </w:r>
      <w:r>
        <w:rPr>
          <w:rFonts w:hint="eastAsia" w:ascii="仿宋" w:hAnsi="仿宋" w:eastAsia="仿宋" w:cs="仿宋"/>
          <w:color w:val="auto"/>
          <w:kern w:val="50"/>
          <w:sz w:val="28"/>
          <w:szCs w:val="28"/>
          <w:highlight w:val="none"/>
        </w:rPr>
        <w:t>：以甲方提供的施工方案及施工要求、竞争性磋商文件、工程量清单、技术要求、现场的实际情况等为依据，完成“</w:t>
      </w:r>
      <w:r>
        <w:rPr>
          <w:rFonts w:hint="eastAsia" w:ascii="仿宋" w:hAnsi="仿宋" w:eastAsia="仿宋" w:cs="仿宋"/>
          <w:bCs/>
          <w:color w:val="auto"/>
          <w:kern w:val="50"/>
          <w:sz w:val="28"/>
          <w:szCs w:val="28"/>
          <w:highlight w:val="none"/>
          <w:lang w:val="en-US" w:eastAsia="zh-CN"/>
        </w:rPr>
        <w:t>提前下达 2025 年城乡义务教育补助经费(校舍安全保障长效机制)建设项目</w:t>
      </w:r>
      <w:r>
        <w:rPr>
          <w:rFonts w:hint="eastAsia" w:ascii="仿宋" w:hAnsi="仿宋" w:eastAsia="仿宋" w:cs="仿宋"/>
          <w:color w:val="auto"/>
          <w:kern w:val="50"/>
          <w:sz w:val="28"/>
          <w:szCs w:val="28"/>
          <w:highlight w:val="none"/>
        </w:rPr>
        <w:t>”全部工程的施工内容。</w:t>
      </w:r>
    </w:p>
    <w:p w14:paraId="60BA6CA2">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b/>
          <w:bCs/>
          <w:color w:val="auto"/>
          <w:kern w:val="50"/>
          <w:sz w:val="28"/>
          <w:szCs w:val="28"/>
          <w:highlight w:val="none"/>
        </w:rPr>
        <w:t>二、工程承包方式：</w:t>
      </w:r>
      <w:r>
        <w:rPr>
          <w:rFonts w:hint="eastAsia" w:ascii="仿宋" w:hAnsi="仿宋" w:eastAsia="仿宋" w:cs="仿宋"/>
          <w:color w:val="auto"/>
          <w:kern w:val="50"/>
          <w:sz w:val="28"/>
          <w:szCs w:val="28"/>
          <w:highlight w:val="none"/>
        </w:rPr>
        <w:t>包工包料，总价一次包死。</w:t>
      </w:r>
    </w:p>
    <w:p w14:paraId="7C1A4CB0">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b/>
          <w:bCs/>
          <w:color w:val="auto"/>
          <w:kern w:val="50"/>
          <w:sz w:val="28"/>
          <w:szCs w:val="28"/>
          <w:highlight w:val="none"/>
        </w:rPr>
        <w:t>三、工程承包价：</w:t>
      </w:r>
      <w:r>
        <w:rPr>
          <w:rFonts w:hint="eastAsia" w:ascii="仿宋" w:hAnsi="仿宋" w:eastAsia="仿宋" w:cs="仿宋"/>
          <w:color w:val="auto"/>
          <w:kern w:val="50"/>
          <w:sz w:val="28"/>
          <w:szCs w:val="28"/>
          <w:highlight w:val="none"/>
        </w:rPr>
        <w:t>人民币</w:t>
      </w:r>
      <w:r>
        <w:rPr>
          <w:rFonts w:hint="eastAsia" w:ascii="仿宋" w:hAnsi="仿宋" w:eastAsia="仿宋" w:cs="仿宋"/>
          <w:color w:val="auto"/>
          <w:kern w:val="50"/>
          <w:sz w:val="28"/>
          <w:szCs w:val="28"/>
          <w:highlight w:val="none"/>
          <w:u w:val="single"/>
          <w:lang w:val="en-US" w:eastAsia="zh-CN"/>
        </w:rPr>
        <w:t xml:space="preserve">          </w:t>
      </w:r>
      <w:r>
        <w:rPr>
          <w:rFonts w:hint="eastAsia" w:ascii="仿宋" w:hAnsi="仿宋" w:eastAsia="仿宋" w:cs="仿宋"/>
          <w:color w:val="auto"/>
          <w:kern w:val="50"/>
          <w:sz w:val="28"/>
          <w:szCs w:val="28"/>
          <w:highlight w:val="none"/>
        </w:rPr>
        <w:t>元，大写：</w:t>
      </w:r>
      <w:r>
        <w:rPr>
          <w:rFonts w:hint="eastAsia" w:ascii="仿宋" w:hAnsi="仿宋" w:eastAsia="仿宋" w:cs="仿宋"/>
          <w:color w:val="auto"/>
          <w:kern w:val="50"/>
          <w:sz w:val="28"/>
          <w:szCs w:val="28"/>
          <w:highlight w:val="none"/>
          <w:u w:val="single"/>
          <w:lang w:val="en-US" w:eastAsia="zh-CN"/>
        </w:rPr>
        <w:t xml:space="preserve">          </w:t>
      </w:r>
      <w:r>
        <w:rPr>
          <w:rFonts w:hint="eastAsia" w:ascii="仿宋" w:hAnsi="仿宋" w:eastAsia="仿宋" w:cs="仿宋"/>
          <w:color w:val="auto"/>
          <w:kern w:val="50"/>
          <w:sz w:val="28"/>
          <w:szCs w:val="28"/>
          <w:highlight w:val="none"/>
          <w:u w:val="single"/>
          <w:lang w:eastAsia="zh-CN"/>
        </w:rPr>
        <w:t>。</w:t>
      </w:r>
    </w:p>
    <w:p w14:paraId="76A58984">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kern w:val="50"/>
          <w:sz w:val="28"/>
          <w:szCs w:val="28"/>
        </w:rPr>
      </w:pPr>
      <w:r>
        <w:rPr>
          <w:rFonts w:hint="eastAsia" w:ascii="仿宋" w:hAnsi="仿宋" w:eastAsia="仿宋" w:cs="仿宋"/>
          <w:b/>
          <w:bCs/>
          <w:color w:val="auto"/>
          <w:kern w:val="50"/>
          <w:sz w:val="28"/>
          <w:szCs w:val="28"/>
          <w:highlight w:val="none"/>
        </w:rPr>
        <w:t>四、工程结算办法：</w:t>
      </w:r>
      <w:r>
        <w:rPr>
          <w:rFonts w:hint="eastAsia" w:ascii="仿宋" w:hAnsi="仿宋" w:eastAsia="仿宋" w:cs="仿宋"/>
          <w:color w:val="auto"/>
          <w:kern w:val="50"/>
          <w:sz w:val="28"/>
          <w:szCs w:val="28"/>
          <w:highlight w:val="none"/>
        </w:rPr>
        <w:t>依据“陕西省建设工程</w:t>
      </w:r>
      <w:r>
        <w:rPr>
          <w:rFonts w:hint="eastAsia" w:ascii="仿宋" w:hAnsi="仿宋" w:eastAsia="仿宋" w:cs="仿宋"/>
          <w:color w:val="auto"/>
          <w:kern w:val="50"/>
          <w:sz w:val="28"/>
          <w:szCs w:val="28"/>
          <w:highlight w:val="none"/>
          <w:lang w:val="en-US" w:eastAsia="zh-CN"/>
        </w:rPr>
        <w:t>工程量</w:t>
      </w:r>
      <w:r>
        <w:rPr>
          <w:rFonts w:hint="eastAsia" w:ascii="仿宋" w:hAnsi="仿宋" w:eastAsia="仿宋" w:cs="仿宋"/>
          <w:color w:val="auto"/>
          <w:kern w:val="50"/>
          <w:sz w:val="28"/>
          <w:szCs w:val="28"/>
          <w:highlight w:val="none"/>
        </w:rPr>
        <w:t>清单计价规</w:t>
      </w:r>
      <w:r>
        <w:rPr>
          <w:rFonts w:hint="eastAsia" w:ascii="仿宋" w:hAnsi="仿宋" w:eastAsia="仿宋" w:cs="仿宋"/>
          <w:kern w:val="50"/>
          <w:sz w:val="28"/>
          <w:szCs w:val="28"/>
        </w:rPr>
        <w:t>则（2009）”、“陕西省室内装饰工程</w:t>
      </w:r>
      <w:r>
        <w:rPr>
          <w:rFonts w:hint="eastAsia" w:ascii="仿宋" w:hAnsi="仿宋" w:eastAsia="仿宋" w:cs="仿宋"/>
          <w:kern w:val="50"/>
          <w:sz w:val="28"/>
          <w:szCs w:val="28"/>
          <w:lang w:val="en-US" w:eastAsia="zh-CN"/>
        </w:rPr>
        <w:t>预算</w:t>
      </w:r>
      <w:r>
        <w:rPr>
          <w:rFonts w:hint="eastAsia" w:ascii="仿宋" w:hAnsi="仿宋" w:eastAsia="仿宋" w:cs="仿宋"/>
          <w:kern w:val="50"/>
          <w:sz w:val="28"/>
          <w:szCs w:val="28"/>
          <w:lang w:val="zh-CN"/>
        </w:rPr>
        <w:t>定额</w:t>
      </w:r>
      <w:r>
        <w:rPr>
          <w:rFonts w:hint="eastAsia" w:ascii="仿宋" w:hAnsi="仿宋" w:eastAsia="仿宋" w:cs="仿宋"/>
          <w:kern w:val="50"/>
          <w:sz w:val="28"/>
          <w:szCs w:val="28"/>
        </w:rPr>
        <w:t>（2002）”、以及“</w:t>
      </w:r>
      <w:r>
        <w:rPr>
          <w:rFonts w:hint="eastAsia" w:ascii="仿宋" w:hAnsi="仿宋" w:eastAsia="仿宋" w:cs="仿宋"/>
          <w:kern w:val="50"/>
          <w:sz w:val="28"/>
          <w:szCs w:val="28"/>
          <w:lang w:val="en-US" w:eastAsia="zh-CN"/>
        </w:rPr>
        <w:t>全统修缮</w:t>
      </w:r>
      <w:r>
        <w:rPr>
          <w:rFonts w:hint="eastAsia" w:ascii="仿宋" w:hAnsi="仿宋" w:eastAsia="仿宋" w:cs="仿宋"/>
          <w:kern w:val="50"/>
          <w:sz w:val="28"/>
          <w:szCs w:val="28"/>
        </w:rPr>
        <w:t>定额</w:t>
      </w:r>
      <w:r>
        <w:rPr>
          <w:rFonts w:hint="eastAsia" w:ascii="仿宋" w:hAnsi="仿宋" w:eastAsia="仿宋" w:cs="仿宋"/>
          <w:kern w:val="50"/>
          <w:sz w:val="28"/>
          <w:szCs w:val="28"/>
          <w:lang w:val="en-US" w:eastAsia="zh-CN"/>
        </w:rPr>
        <w:t>土建工程陕西省价目表</w:t>
      </w:r>
      <w:r>
        <w:rPr>
          <w:rFonts w:hint="eastAsia" w:ascii="仿宋" w:hAnsi="仿宋" w:eastAsia="仿宋" w:cs="仿宋"/>
          <w:kern w:val="50"/>
          <w:sz w:val="28"/>
          <w:szCs w:val="28"/>
        </w:rPr>
        <w:t>（200</w:t>
      </w:r>
      <w:r>
        <w:rPr>
          <w:rFonts w:hint="eastAsia" w:ascii="仿宋" w:hAnsi="仿宋" w:eastAsia="仿宋" w:cs="仿宋"/>
          <w:kern w:val="50"/>
          <w:sz w:val="28"/>
          <w:szCs w:val="28"/>
          <w:lang w:val="en-US" w:eastAsia="zh-CN"/>
        </w:rPr>
        <w:t>1</w:t>
      </w:r>
      <w:r>
        <w:rPr>
          <w:rFonts w:hint="eastAsia" w:ascii="仿宋" w:hAnsi="仿宋" w:eastAsia="仿宋" w:cs="仿宋"/>
          <w:kern w:val="50"/>
          <w:sz w:val="28"/>
          <w:szCs w:val="28"/>
        </w:rPr>
        <w:t>）”等进行编制，税金执行国家现行政策“营改增”模式。</w:t>
      </w:r>
    </w:p>
    <w:p w14:paraId="7890241A">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kern w:val="50"/>
          <w:sz w:val="28"/>
          <w:szCs w:val="28"/>
        </w:rPr>
      </w:pPr>
      <w:r>
        <w:rPr>
          <w:rFonts w:hint="eastAsia" w:ascii="仿宋" w:hAnsi="仿宋" w:eastAsia="仿宋" w:cs="仿宋"/>
          <w:kern w:val="50"/>
          <w:sz w:val="28"/>
          <w:szCs w:val="28"/>
        </w:rPr>
        <w:t>结算依据为招标文件、合同、投标文件及现场变更签证等。</w:t>
      </w:r>
    </w:p>
    <w:p w14:paraId="1A42B271">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kern w:val="50"/>
          <w:sz w:val="28"/>
          <w:szCs w:val="28"/>
        </w:rPr>
        <w:t>变更签证结算依据：①清单中已有适用于变更工程的价格，按清单已有的价格变更合同价款；②清单中只有类似于变更工程的价格，可以参照类似价格变更合同价款；③清单中没有适用或类似于变更工程的价格，由承包人提出适当的变更价格，经发包人确认后执行。如双方不能达成一致的，双方可提请工程所在地工程造价管理机构进行咨询或按合同约定的争议</w:t>
      </w:r>
      <w:r>
        <w:rPr>
          <w:rFonts w:hint="eastAsia" w:ascii="仿宋" w:hAnsi="仿宋" w:eastAsia="仿宋" w:cs="仿宋"/>
          <w:color w:val="auto"/>
          <w:kern w:val="50"/>
          <w:sz w:val="28"/>
          <w:szCs w:val="28"/>
          <w:highlight w:val="none"/>
        </w:rPr>
        <w:t>或纠纷解决程序办理。</w:t>
      </w:r>
    </w:p>
    <w:p w14:paraId="7FB1C454">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若施工过程中发生设计变更或现场签证，均需报发包人审批后才能生效。</w:t>
      </w:r>
    </w:p>
    <w:p w14:paraId="797939F8">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1.确定变更价款：施工中承包人不得对原工程设计进行变更。因承包人擅自变更设计发生的费用和由此导致发包人的直接损失，由承包人承担，延误的工期不予顺延。</w:t>
      </w:r>
    </w:p>
    <w:p w14:paraId="3AD5A407">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变更合同价款按下列方法进行：</w:t>
      </w:r>
    </w:p>
    <w:p w14:paraId="2A3C32DB">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1）合同已有适用于设计变更、现场签证、工程量调整的综合单价，按合同已有的综合单价结算；</w:t>
      </w:r>
    </w:p>
    <w:p w14:paraId="05028054">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2）合同中只有类似于设计变更、现场签证、工程量调整的综合单价，参照类似综合单价进行结算，并报发包人确定；</w:t>
      </w:r>
    </w:p>
    <w:p w14:paraId="4A64179C">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3）合同中没有适用或类似于设计变更、现场签证、工程量调整的综合单价时，由承包人按招标控制价编制依据计算综合单价，乘以投标总报价与招标控制价下降幅度（即结算综合单价=按招标控制价编制依据计算的综合单价×投标总报价/招标控制价）编制变更项目的综合单价，报发包人审核后确定。但确定综合单价时，合同中约定的人工、材料、机械可调整的内容，仍按合同约定调整；合同中未约定的，按施工期信息价（或签证价）确定。</w:t>
      </w:r>
    </w:p>
    <w:p w14:paraId="78C4B275">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4）如按以上编制依据缺项的内容，承包人应通过市场调查等手段提出单价，并报发包人确定后执行。</w:t>
      </w:r>
    </w:p>
    <w:p w14:paraId="52C36100">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5）措施项目费调整：</w:t>
      </w:r>
    </w:p>
    <w:p w14:paraId="6402D0C0">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在本工程施工过程中，由于设计变更、现场签证、工程量调整若实际工程量与招标工程量有偏差时或发生设计变更，其增减工程量涉及的款额累计不超过中标价10%或分项工程实际工程量增减不超过清单工程量10%时，依发生的工程量按合同授予时双方确认的综合单价进行结算，且原中标价中措施项目费不变。</w:t>
      </w:r>
    </w:p>
    <w:p w14:paraId="7F67F5CE">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若设计变更、现场签证、工程量增减工程量涉及的款额累计超过上述范围时，原合同综合单价不变，工程量按实际增减后工程量为准，但措施项目费应按以下标准调整：造价变更增减时，变化超过限额部分的措施项目费按原中标价中措施项目费占分部分项工程造价的相应比例增减计算项目措施费，经发包人确认后，做为结算的依据。</w:t>
      </w:r>
    </w:p>
    <w:p w14:paraId="3DC0096E">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变更、签证价款不在进度款中支付，工程竣工验收前审核并办理完变更、签证确认手续，结算时调整进入总造价。</w:t>
      </w:r>
    </w:p>
    <w:p w14:paraId="3195D781">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2.变更签证的确认程序：</w:t>
      </w:r>
    </w:p>
    <w:p w14:paraId="2385350B">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default" w:ascii="仿宋" w:hAnsi="仿宋" w:eastAsia="仿宋" w:cs="仿宋"/>
          <w:b/>
          <w:bCs/>
          <w:color w:val="auto"/>
          <w:kern w:val="50"/>
          <w:sz w:val="28"/>
          <w:szCs w:val="28"/>
          <w:highlight w:val="none"/>
          <w:lang w:val="en-US" w:eastAsia="zh-CN"/>
        </w:rPr>
      </w:pPr>
      <w:r>
        <w:rPr>
          <w:rFonts w:hint="default" w:ascii="仿宋" w:hAnsi="仿宋" w:eastAsia="仿宋" w:cs="仿宋"/>
          <w:b/>
          <w:bCs/>
          <w:color w:val="auto"/>
          <w:kern w:val="50"/>
          <w:sz w:val="28"/>
          <w:szCs w:val="28"/>
          <w:highlight w:val="none"/>
          <w:lang w:val="en-US" w:eastAsia="zh-CN"/>
        </w:rPr>
        <w:t>1）根据监理单位及发包人确认的变更签证，由监理单位、发包人、承包人现场实际核对，对承包人实际完成的工作内容进行签认。变更签证必须有发包人指定的现场负责人的签字并加盖公章、监理单位负责人的签字并加盖公章、承包人的项目经理签字并加盖公章后方可生效。</w:t>
      </w:r>
    </w:p>
    <w:p w14:paraId="6B95FCB2">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default" w:ascii="仿宋" w:hAnsi="仿宋" w:eastAsia="仿宋" w:cs="仿宋"/>
          <w:b/>
          <w:bCs/>
          <w:color w:val="auto"/>
          <w:kern w:val="50"/>
          <w:sz w:val="28"/>
          <w:szCs w:val="28"/>
          <w:highlight w:val="none"/>
          <w:lang w:val="en-US" w:eastAsia="zh-CN"/>
        </w:rPr>
      </w:pPr>
      <w:r>
        <w:rPr>
          <w:rFonts w:hint="default" w:ascii="仿宋" w:hAnsi="仿宋" w:eastAsia="仿宋" w:cs="仿宋"/>
          <w:b/>
          <w:bCs/>
          <w:color w:val="auto"/>
          <w:kern w:val="50"/>
          <w:sz w:val="28"/>
          <w:szCs w:val="28"/>
          <w:highlight w:val="none"/>
          <w:lang w:val="en-US" w:eastAsia="zh-CN"/>
        </w:rPr>
        <w:t>2）工程施工期间只涉及工程设计变更和现场签证的签认工作，变更、签证工程价款在工程结算时应由审核部门进行审核；工程施工中所发生的设计变更承包人必须无条件的执行。</w:t>
      </w:r>
    </w:p>
    <w:p w14:paraId="47346049">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default" w:ascii="仿宋" w:hAnsi="仿宋" w:eastAsia="仿宋" w:cs="仿宋"/>
          <w:b/>
          <w:bCs/>
          <w:color w:val="auto"/>
          <w:kern w:val="50"/>
          <w:sz w:val="28"/>
          <w:szCs w:val="28"/>
          <w:highlight w:val="none"/>
          <w:lang w:val="en-US" w:eastAsia="zh-CN"/>
        </w:rPr>
      </w:pPr>
      <w:r>
        <w:rPr>
          <w:rFonts w:hint="default" w:ascii="仿宋" w:hAnsi="仿宋" w:eastAsia="仿宋" w:cs="仿宋"/>
          <w:b/>
          <w:bCs/>
          <w:color w:val="auto"/>
          <w:kern w:val="50"/>
          <w:sz w:val="28"/>
          <w:szCs w:val="28"/>
          <w:highlight w:val="none"/>
          <w:lang w:val="en-US" w:eastAsia="zh-CN"/>
        </w:rPr>
        <w:t>3）发、承包双方应对工程施工合同以外的增加项目，如实做好记录，并履行书面手续。凡由发包人、承包人、监理三方授权委托的现场代表签字的变更签证及三方协商确认的索赔费用等，在竣工结算时如实办理，不应发包人、承包人、监理三方现场代表的中途变更而改变其有效性。</w:t>
      </w:r>
    </w:p>
    <w:p w14:paraId="73590D76">
      <w:pPr>
        <w:keepNext w:val="0"/>
        <w:keepLines w:val="0"/>
        <w:pageBreakBefore w:val="0"/>
        <w:widowControl w:val="0"/>
        <w:wordWrap/>
        <w:overflowPunct/>
        <w:topLinePunct w:val="0"/>
        <w:autoSpaceDE w:val="0"/>
        <w:autoSpaceDN w:val="0"/>
        <w:bidi w:val="0"/>
        <w:adjustRightInd w:val="0"/>
        <w:snapToGrid w:val="0"/>
        <w:spacing w:line="360" w:lineRule="auto"/>
        <w:ind w:firstLine="610" w:firstLineChars="218"/>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本工程竣工结算时，只计算变更、签证部分，不再对报价书、标底价及中标价进行重新核对。乙方不按时与甲方共同结算的，以甲方审定的结算金额为准。</w:t>
      </w:r>
    </w:p>
    <w:p w14:paraId="68462F8F">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Calibri" w:hAnsi="Calibri" w:cs="Times New Roman"/>
          <w:color w:val="auto"/>
          <w:kern w:val="2"/>
          <w:sz w:val="28"/>
          <w:szCs w:val="28"/>
          <w:highlight w:val="none"/>
        </w:rPr>
      </w:pPr>
      <w:r>
        <w:rPr>
          <w:rFonts w:hint="eastAsia" w:ascii="仿宋" w:hAnsi="仿宋" w:eastAsia="仿宋" w:cs="仿宋"/>
          <w:b/>
          <w:bCs/>
          <w:color w:val="auto"/>
          <w:kern w:val="50"/>
          <w:sz w:val="28"/>
          <w:szCs w:val="28"/>
          <w:highlight w:val="none"/>
        </w:rPr>
        <w:t>五、工程质量：</w:t>
      </w:r>
      <w:r>
        <w:rPr>
          <w:rFonts w:hint="eastAsia" w:ascii="仿宋" w:hAnsi="仿宋" w:eastAsia="仿宋" w:cs="仿宋"/>
          <w:color w:val="auto"/>
          <w:kern w:val="50"/>
          <w:sz w:val="28"/>
          <w:szCs w:val="28"/>
          <w:highlight w:val="none"/>
        </w:rPr>
        <w:t>乙方必须依据工程实际，严密组织，精心施工，严格按照国家有关建筑的法律法规进行施工，最终确保达到合格标准。乙方认真完成工程资料的整编工作，确保工程资料的真实、可信，工程资料与工程同步整编。</w:t>
      </w:r>
      <w:bookmarkStart w:id="0" w:name="_Hlk155242980"/>
      <w:r>
        <w:rPr>
          <w:rFonts w:hint="eastAsia" w:ascii="仿宋" w:hAnsi="仿宋" w:eastAsia="仿宋" w:cs="仿宋"/>
          <w:color w:val="auto"/>
          <w:kern w:val="50"/>
          <w:sz w:val="28"/>
          <w:szCs w:val="28"/>
          <w:highlight w:val="none"/>
        </w:rPr>
        <w:t>工程资料包含前期立项文件、招标文件、投标文件、合同、施工管理资料、施工技术资料、变更签证、竣工图等，工程结束资料整编完整并经甲方验收合格后及时归档管理。</w:t>
      </w:r>
      <w:bookmarkEnd w:id="0"/>
    </w:p>
    <w:p w14:paraId="19367155">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b/>
          <w:bCs/>
          <w:color w:val="auto"/>
          <w:kern w:val="50"/>
          <w:sz w:val="28"/>
          <w:szCs w:val="28"/>
          <w:highlight w:val="none"/>
        </w:rPr>
        <w:t>六、工程安全：</w:t>
      </w:r>
      <w:r>
        <w:rPr>
          <w:rFonts w:hint="eastAsia" w:ascii="仿宋" w:hAnsi="仿宋" w:eastAsia="仿宋" w:cs="仿宋"/>
          <w:color w:val="auto"/>
          <w:kern w:val="50"/>
          <w:sz w:val="28"/>
          <w:szCs w:val="28"/>
          <w:highlight w:val="none"/>
        </w:rPr>
        <w:t>乙方应该严格履行国家有关安全方面的法律法规，严格要求工人，牢固树立安全第一、质量第一的思想。严格按国家有关的安全操作规程进行施工，接受甲方、监理及其他相关部门的监督管理。对施工过程中出现的人身、设备、材料等一切事故均由乙方承担全部的相关责任、费用及损失。甲方不负任何责任。</w:t>
      </w:r>
    </w:p>
    <w:p w14:paraId="326BC49D">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b/>
          <w:bCs/>
          <w:color w:val="auto"/>
          <w:kern w:val="50"/>
          <w:sz w:val="28"/>
          <w:szCs w:val="28"/>
          <w:highlight w:val="none"/>
        </w:rPr>
        <w:t>七、工期要求：</w:t>
      </w:r>
      <w:r>
        <w:rPr>
          <w:rFonts w:hint="eastAsia" w:ascii="仿宋" w:hAnsi="仿宋" w:eastAsia="仿宋" w:cs="仿宋"/>
          <w:color w:val="auto"/>
          <w:kern w:val="50"/>
          <w:sz w:val="28"/>
          <w:szCs w:val="28"/>
          <w:highlight w:val="none"/>
        </w:rPr>
        <w:t>双方确定工期为</w:t>
      </w:r>
      <w:r>
        <w:rPr>
          <w:rFonts w:hint="eastAsia" w:ascii="仿宋" w:hAnsi="仿宋" w:eastAsia="仿宋" w:cs="仿宋"/>
          <w:color w:val="auto"/>
          <w:kern w:val="50"/>
          <w:sz w:val="28"/>
          <w:szCs w:val="28"/>
          <w:highlight w:val="none"/>
          <w:u w:val="single"/>
        </w:rPr>
        <w:t xml:space="preserve">  </w:t>
      </w:r>
      <w:r>
        <w:rPr>
          <w:rFonts w:hint="eastAsia" w:ascii="仿宋" w:hAnsi="仿宋" w:eastAsia="仿宋" w:cs="仿宋"/>
          <w:color w:val="auto"/>
          <w:kern w:val="50"/>
          <w:sz w:val="28"/>
          <w:szCs w:val="28"/>
          <w:highlight w:val="none"/>
          <w:u w:val="single"/>
          <w:lang w:val="en-US" w:eastAsia="zh-CN"/>
        </w:rPr>
        <w:t xml:space="preserve">   </w:t>
      </w:r>
      <w:r>
        <w:rPr>
          <w:rFonts w:hint="eastAsia" w:ascii="仿宋" w:hAnsi="仿宋" w:eastAsia="仿宋" w:cs="仿宋"/>
          <w:color w:val="auto"/>
          <w:kern w:val="50"/>
          <w:sz w:val="28"/>
          <w:szCs w:val="28"/>
          <w:highlight w:val="none"/>
          <w:u w:val="single"/>
        </w:rPr>
        <w:t xml:space="preserve">  </w:t>
      </w:r>
      <w:r>
        <w:rPr>
          <w:rFonts w:hint="eastAsia" w:ascii="仿宋" w:hAnsi="仿宋" w:eastAsia="仿宋" w:cs="仿宋"/>
          <w:color w:val="auto"/>
          <w:kern w:val="50"/>
          <w:sz w:val="28"/>
          <w:szCs w:val="28"/>
          <w:highlight w:val="none"/>
        </w:rPr>
        <w:t>日历天。</w:t>
      </w:r>
    </w:p>
    <w:p w14:paraId="78ADAAF7">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eastAsia="zh-CN"/>
        </w:rPr>
      </w:pPr>
      <w:r>
        <w:rPr>
          <w:rFonts w:hint="eastAsia" w:ascii="仿宋" w:hAnsi="仿宋" w:eastAsia="仿宋" w:cs="仿宋"/>
          <w:b/>
          <w:bCs/>
          <w:color w:val="auto"/>
          <w:kern w:val="50"/>
          <w:sz w:val="28"/>
          <w:szCs w:val="28"/>
          <w:highlight w:val="none"/>
        </w:rPr>
        <w:t>八、</w:t>
      </w:r>
      <w:r>
        <w:rPr>
          <w:rFonts w:hint="eastAsia" w:ascii="仿宋" w:hAnsi="仿宋" w:eastAsia="仿宋" w:cs="仿宋"/>
          <w:color w:val="auto"/>
          <w:kern w:val="50"/>
          <w:sz w:val="28"/>
          <w:szCs w:val="28"/>
          <w:highlight w:val="none"/>
        </w:rPr>
        <w:t>本工程所用的材料必须符合设计要求及国家相关质量标准，并经甲方认质后方可使用（甲方认质并不免除乙方所用材料出现质量问题所产生的一切后果）。产品合格证、检验报告以及必要的检测证件必须齐全</w:t>
      </w:r>
      <w:r>
        <w:rPr>
          <w:rFonts w:hint="eastAsia" w:ascii="仿宋" w:hAnsi="仿宋" w:eastAsia="仿宋" w:cs="仿宋"/>
          <w:color w:val="auto"/>
          <w:kern w:val="50"/>
          <w:sz w:val="28"/>
          <w:szCs w:val="28"/>
          <w:highlight w:val="none"/>
          <w:lang w:eastAsia="zh-CN"/>
        </w:rPr>
        <w:t>。</w:t>
      </w:r>
    </w:p>
    <w:p w14:paraId="3720AEF6">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九、双方的责任和义务</w:t>
      </w:r>
    </w:p>
    <w:p w14:paraId="4EF55EE3">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1、甲方的责任和义务</w:t>
      </w:r>
    </w:p>
    <w:p w14:paraId="4B98BF5E">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（1）全程监理施工过程的质量、进度控制，现场安全、环卫监督，合同管理和信息管理，组织协调施工中各种矛盾。</w:t>
      </w:r>
    </w:p>
    <w:p w14:paraId="7458F3B9">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（2）施工过程中若发生变更签证，必须经甲方书面同意，并根据甲方工程管理相关规定办理相关签字手续后方可施工。变更签证增减部分结算时按投标下浮的费率执行。</w:t>
      </w:r>
    </w:p>
    <w:p w14:paraId="4E013050">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（3）按合同支付工程款。</w:t>
      </w:r>
    </w:p>
    <w:p w14:paraId="0B0A491B">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2、乙方的责任和义务</w:t>
      </w:r>
    </w:p>
    <w:p w14:paraId="36EBD23B">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（1）乙方必须按甲方施工要求积极认真的组织施工，保质保量的按期交工。</w:t>
      </w:r>
    </w:p>
    <w:p w14:paraId="76A82029">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（2）认真落实有关建筑行业的法律法规，保证工程质量和安全</w:t>
      </w:r>
    </w:p>
    <w:p w14:paraId="013F402B">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（3）接受甲方的管理，否则甲方有权停工。</w:t>
      </w:r>
    </w:p>
    <w:p w14:paraId="2AAA3951">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（4）协调环卫、规划、质检等各部门的关系。</w:t>
      </w:r>
    </w:p>
    <w:p w14:paraId="7883AB07">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lang w:eastAsia="zh-CN"/>
        </w:rPr>
      </w:pPr>
      <w:r>
        <w:rPr>
          <w:rFonts w:hint="eastAsia" w:ascii="仿宋" w:hAnsi="仿宋" w:eastAsia="仿宋" w:cs="仿宋"/>
          <w:color w:val="auto"/>
          <w:kern w:val="50"/>
          <w:sz w:val="28"/>
          <w:szCs w:val="28"/>
          <w:highlight w:val="none"/>
        </w:rPr>
        <w:t>（5）加强安全意识，施工中的安全责任由乙方全部承担</w:t>
      </w:r>
      <w:r>
        <w:rPr>
          <w:rFonts w:hint="eastAsia" w:ascii="仿宋" w:hAnsi="仿宋" w:eastAsia="仿宋" w:cs="仿宋"/>
          <w:color w:val="auto"/>
          <w:kern w:val="50"/>
          <w:sz w:val="28"/>
          <w:szCs w:val="28"/>
          <w:highlight w:val="none"/>
          <w:lang w:eastAsia="zh-CN"/>
        </w:rPr>
        <w:t>。</w:t>
      </w:r>
    </w:p>
    <w:p w14:paraId="0B54A2AA">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（6）乙方聘用人员发生劳动合同纠纷、社保、安全等问题，乙方承担全部责任并妥善处理，出现问题与甲方无关。</w:t>
      </w:r>
    </w:p>
    <w:p w14:paraId="7F68D0F0">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（7）该项目质保</w:t>
      </w:r>
      <w:r>
        <w:rPr>
          <w:rFonts w:hint="eastAsia" w:ascii="仿宋" w:hAnsi="仿宋" w:eastAsia="仿宋" w:cs="仿宋"/>
          <w:color w:val="auto"/>
          <w:kern w:val="50"/>
          <w:sz w:val="28"/>
          <w:szCs w:val="28"/>
          <w:highlight w:val="none"/>
          <w:lang w:val="en-US" w:eastAsia="zh-CN"/>
        </w:rPr>
        <w:t>两</w:t>
      </w:r>
      <w:r>
        <w:rPr>
          <w:rFonts w:hint="eastAsia" w:ascii="仿宋" w:hAnsi="仿宋" w:eastAsia="仿宋" w:cs="仿宋"/>
          <w:color w:val="auto"/>
          <w:kern w:val="50"/>
          <w:sz w:val="28"/>
          <w:szCs w:val="28"/>
          <w:highlight w:val="none"/>
        </w:rPr>
        <w:t>年，质保期内免费维修。接到甲方维修通知后，乙方应于</w:t>
      </w:r>
      <w:r>
        <w:rPr>
          <w:rFonts w:hint="eastAsia" w:ascii="仿宋" w:hAnsi="仿宋" w:eastAsia="仿宋" w:cs="仿宋"/>
          <w:color w:val="auto"/>
          <w:kern w:val="50"/>
          <w:sz w:val="28"/>
          <w:szCs w:val="28"/>
          <w:highlight w:val="none"/>
          <w:lang w:val="en-US" w:eastAsia="zh-CN"/>
        </w:rPr>
        <w:t>24</w:t>
      </w:r>
      <w:r>
        <w:rPr>
          <w:rFonts w:hint="eastAsia" w:ascii="仿宋" w:hAnsi="仿宋" w:eastAsia="仿宋" w:cs="仿宋"/>
          <w:color w:val="auto"/>
          <w:kern w:val="50"/>
          <w:sz w:val="28"/>
          <w:szCs w:val="28"/>
          <w:highlight w:val="none"/>
        </w:rPr>
        <w:t>小时内响应</w:t>
      </w:r>
      <w:r>
        <w:rPr>
          <w:rFonts w:hint="eastAsia" w:ascii="仿宋" w:hAnsi="仿宋" w:eastAsia="仿宋" w:cs="仿宋"/>
          <w:color w:val="auto"/>
          <w:kern w:val="50"/>
          <w:sz w:val="28"/>
          <w:szCs w:val="28"/>
          <w:highlight w:val="none"/>
          <w:lang w:eastAsia="zh-CN"/>
        </w:rPr>
        <w:t>并</w:t>
      </w:r>
      <w:r>
        <w:rPr>
          <w:rFonts w:hint="eastAsia" w:ascii="仿宋" w:hAnsi="仿宋" w:eastAsia="仿宋" w:cs="仿宋"/>
          <w:color w:val="auto"/>
          <w:kern w:val="50"/>
          <w:sz w:val="28"/>
          <w:szCs w:val="28"/>
          <w:highlight w:val="none"/>
        </w:rPr>
        <w:t>按甲方要求完成维修，否则甲方可委托第三方进行维修，产生的费用在质保金内扣除，质保金不足以扣除的，由乙方另行向甲方支付。</w:t>
      </w:r>
    </w:p>
    <w:p w14:paraId="24D57329">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 xml:space="preserve"> 　　十、工程验收</w:t>
      </w:r>
    </w:p>
    <w:p w14:paraId="4C8E2957">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1、乙方完工后，由使用单位初检，初检合格后，乙方向甲方   </w:t>
      </w:r>
    </w:p>
    <w:p w14:paraId="4CCD238C">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提出正式验收申请（使用单位和施工单位签章）。</w:t>
      </w:r>
    </w:p>
    <w:p w14:paraId="393FA775">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2、甲方根据乙方提出的正式验收申请，组织正式验收，验收  </w:t>
      </w:r>
    </w:p>
    <w:p w14:paraId="6A0CFA70">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合格作为工程的最终认可。如工程未通过甲方正式验收，则乙方应持续改进，直至通过甲方正式验收，期间工期不顺延，连续</w:t>
      </w:r>
      <w:r>
        <w:rPr>
          <w:rFonts w:hint="eastAsia" w:ascii="仿宋" w:hAnsi="仿宋" w:eastAsia="仿宋" w:cs="仿宋"/>
          <w:color w:val="auto"/>
          <w:kern w:val="50"/>
          <w:sz w:val="28"/>
          <w:szCs w:val="28"/>
          <w:highlight w:val="none"/>
          <w:lang w:val="en-US" w:eastAsia="zh-CN"/>
        </w:rPr>
        <w:t>两</w:t>
      </w:r>
      <w:r>
        <w:rPr>
          <w:rFonts w:hint="eastAsia" w:ascii="仿宋" w:hAnsi="仿宋" w:eastAsia="仿宋" w:cs="仿宋"/>
          <w:color w:val="auto"/>
          <w:kern w:val="50"/>
          <w:sz w:val="28"/>
          <w:szCs w:val="28"/>
          <w:highlight w:val="none"/>
        </w:rPr>
        <w:t>次正式验收不合格的，甲方有权单方解除本合同。</w:t>
      </w:r>
    </w:p>
    <w:p w14:paraId="6BD25026">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3、验收依据：</w:t>
      </w:r>
    </w:p>
    <w:p w14:paraId="037C7373">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（1）竞争性磋商文件、竞争性磋商响应文件、合同。</w:t>
      </w:r>
    </w:p>
    <w:p w14:paraId="20E8CA19">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（2）国家颁布的相关标准与规范。</w:t>
      </w:r>
    </w:p>
    <w:p w14:paraId="48D58BFB">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　　十一、付款方式</w:t>
      </w:r>
    </w:p>
    <w:p w14:paraId="7F516616">
      <w:pPr>
        <w:keepNext w:val="0"/>
        <w:keepLines w:val="0"/>
        <w:pageBreakBefore w:val="0"/>
        <w:widowControl w:val="0"/>
        <w:wordWrap/>
        <w:overflowPunct/>
        <w:topLinePunct w:val="0"/>
        <w:autoSpaceDE w:val="0"/>
        <w:autoSpaceDN w:val="0"/>
        <w:bidi w:val="0"/>
        <w:adjustRightInd w:val="0"/>
        <w:snapToGrid w:val="0"/>
        <w:spacing w:line="360" w:lineRule="auto"/>
        <w:ind w:firstLine="56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（1）合同签订后10个工作日内支付合同总价款40%作为预付款；</w:t>
      </w:r>
    </w:p>
    <w:p w14:paraId="057994B5">
      <w:pPr>
        <w:keepNext w:val="0"/>
        <w:keepLines w:val="0"/>
        <w:pageBreakBefore w:val="0"/>
        <w:widowControl w:val="0"/>
        <w:wordWrap/>
        <w:overflowPunct/>
        <w:topLinePunct w:val="0"/>
        <w:autoSpaceDE w:val="0"/>
        <w:autoSpaceDN w:val="0"/>
        <w:bidi w:val="0"/>
        <w:adjustRightInd w:val="0"/>
        <w:snapToGrid w:val="0"/>
        <w:spacing w:line="360" w:lineRule="auto"/>
        <w:ind w:firstLine="56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（2）工程竣工、验收合格后15个工作日内支付至结算审计总价；</w:t>
      </w:r>
    </w:p>
    <w:p w14:paraId="66404CC1">
      <w:pPr>
        <w:keepNext w:val="0"/>
        <w:keepLines w:val="0"/>
        <w:pageBreakBefore w:val="0"/>
        <w:widowControl w:val="0"/>
        <w:wordWrap/>
        <w:overflowPunct/>
        <w:topLinePunct w:val="0"/>
        <w:autoSpaceDE w:val="0"/>
        <w:autoSpaceDN w:val="0"/>
        <w:bidi w:val="0"/>
        <w:adjustRightInd w:val="0"/>
        <w:snapToGrid w:val="0"/>
        <w:spacing w:line="360" w:lineRule="auto"/>
        <w:ind w:firstLine="56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（3）付款前供应商需提前向甲方提供足额发票。</w:t>
      </w:r>
    </w:p>
    <w:p w14:paraId="75CD1F2C">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乙方按审计结果出具国家正式税票，甲方财务转账至乙方账户</w:t>
      </w:r>
    </w:p>
    <w:p w14:paraId="075EE7B4">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default" w:ascii="仿宋" w:hAnsi="仿宋" w:eastAsia="仿宋" w:cs="仿宋"/>
          <w:color w:val="auto"/>
          <w:kern w:val="50"/>
          <w:sz w:val="28"/>
          <w:szCs w:val="28"/>
          <w:highlight w:val="none"/>
          <w:u w:val="single"/>
          <w:lang w:val="en-US" w:eastAsia="zh-CN"/>
        </w:rPr>
      </w:pPr>
      <w:r>
        <w:rPr>
          <w:rFonts w:hint="eastAsia" w:ascii="仿宋" w:hAnsi="仿宋" w:eastAsia="仿宋" w:cs="仿宋"/>
          <w:color w:val="auto"/>
          <w:kern w:val="50"/>
          <w:sz w:val="28"/>
          <w:szCs w:val="28"/>
          <w:highlight w:val="none"/>
          <w:u w:val="single"/>
          <w:lang w:val="en-US" w:eastAsia="zh-CN"/>
        </w:rPr>
        <w:t xml:space="preserve">户  名：                         </w:t>
      </w:r>
    </w:p>
    <w:p w14:paraId="70BC6A48">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default" w:ascii="仿宋" w:hAnsi="仿宋" w:eastAsia="仿宋" w:cs="仿宋"/>
          <w:color w:val="auto"/>
          <w:kern w:val="50"/>
          <w:sz w:val="28"/>
          <w:szCs w:val="28"/>
          <w:highlight w:val="none"/>
          <w:u w:val="single"/>
          <w:lang w:val="en-US" w:eastAsia="zh-CN"/>
        </w:rPr>
      </w:pPr>
      <w:r>
        <w:rPr>
          <w:rFonts w:hint="eastAsia" w:ascii="仿宋" w:hAnsi="仿宋" w:eastAsia="仿宋" w:cs="仿宋"/>
          <w:color w:val="auto"/>
          <w:kern w:val="50"/>
          <w:sz w:val="28"/>
          <w:szCs w:val="28"/>
          <w:highlight w:val="none"/>
          <w:u w:val="single"/>
          <w:lang w:val="en-US" w:eastAsia="zh-CN"/>
        </w:rPr>
        <w:t xml:space="preserve">开户行：                         </w:t>
      </w:r>
    </w:p>
    <w:p w14:paraId="15D443D3">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u w:val="single"/>
          <w:lang w:val="en-US" w:eastAsia="zh-CN"/>
        </w:rPr>
        <w:t xml:space="preserve">账  号：                         </w:t>
      </w:r>
      <w:r>
        <w:rPr>
          <w:rFonts w:hint="eastAsia" w:ascii="仿宋" w:hAnsi="仿宋" w:eastAsia="仿宋" w:cs="仿宋"/>
          <w:color w:val="auto"/>
          <w:kern w:val="50"/>
          <w:sz w:val="28"/>
          <w:szCs w:val="28"/>
          <w:highlight w:val="none"/>
        </w:rPr>
        <w:t xml:space="preserve"> </w:t>
      </w:r>
    </w:p>
    <w:p w14:paraId="100F296D">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w:t>
      </w:r>
      <w:r>
        <w:rPr>
          <w:rFonts w:hint="eastAsia" w:ascii="仿宋" w:hAnsi="仿宋" w:eastAsia="仿宋" w:cs="仿宋"/>
          <w:b/>
          <w:bCs/>
          <w:color w:val="auto"/>
          <w:kern w:val="50"/>
          <w:sz w:val="28"/>
          <w:szCs w:val="28"/>
          <w:highlight w:val="none"/>
        </w:rPr>
        <w:t>十二、违约责任</w:t>
      </w:r>
    </w:p>
    <w:p w14:paraId="751E7BC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1.乙方工程质量不符合合同规定的，负责无偿修理或返工。由于修理返工造成逾期交付的，按合同总价的10％偿付逾期违约金，并赔偿甲方实际损失。</w:t>
      </w:r>
    </w:p>
    <w:p w14:paraId="70852EF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2.乙方工程交付时间不符合规定，乙方按合同总价的10％偿付逾期违约金。</w:t>
      </w:r>
    </w:p>
    <w:p w14:paraId="1F571E4C">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3.甲方未能按照合同的规定履行自己应负的责任，除竣工日期得以顺延外，还应赔偿乙方因此发生的实际损失。</w:t>
      </w:r>
    </w:p>
    <w:p w14:paraId="4B062E19">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4.甲方未能按照该合同第九条支付工程价款，逾期支付货款部分，除应及时付足货款外，应向乙方每天支付欠款总额 1‰的滞纳金；但累计滞纳金总额不超过欠款总额的 1%。</w:t>
      </w:r>
    </w:p>
    <w:p w14:paraId="7557BBFC">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十三、本合同一式</w:t>
      </w:r>
      <w:r>
        <w:rPr>
          <w:rFonts w:hint="eastAsia" w:ascii="仿宋" w:hAnsi="仿宋" w:eastAsia="仿宋" w:cs="仿宋"/>
          <w:b/>
          <w:bCs/>
          <w:color w:val="auto"/>
          <w:kern w:val="50"/>
          <w:sz w:val="28"/>
          <w:szCs w:val="28"/>
          <w:highlight w:val="none"/>
          <w:lang w:val="en-US" w:eastAsia="zh-CN"/>
        </w:rPr>
        <w:t>肆</w:t>
      </w:r>
      <w:r>
        <w:rPr>
          <w:rFonts w:hint="eastAsia" w:ascii="仿宋" w:hAnsi="仿宋" w:eastAsia="仿宋" w:cs="仿宋"/>
          <w:b/>
          <w:bCs/>
          <w:color w:val="auto"/>
          <w:kern w:val="50"/>
          <w:sz w:val="28"/>
          <w:szCs w:val="28"/>
          <w:highlight w:val="none"/>
        </w:rPr>
        <w:t>份，甲方执</w:t>
      </w:r>
      <w:r>
        <w:rPr>
          <w:rFonts w:hint="eastAsia" w:ascii="仿宋" w:hAnsi="仿宋" w:eastAsia="仿宋" w:cs="仿宋"/>
          <w:b/>
          <w:bCs/>
          <w:color w:val="auto"/>
          <w:kern w:val="50"/>
          <w:sz w:val="28"/>
          <w:szCs w:val="28"/>
          <w:highlight w:val="none"/>
          <w:lang w:val="en-US" w:eastAsia="zh-CN"/>
        </w:rPr>
        <w:t>叁</w:t>
      </w:r>
      <w:r>
        <w:rPr>
          <w:rFonts w:hint="eastAsia" w:ascii="仿宋" w:hAnsi="仿宋" w:eastAsia="仿宋" w:cs="仿宋"/>
          <w:b/>
          <w:bCs/>
          <w:color w:val="auto"/>
          <w:kern w:val="50"/>
          <w:sz w:val="28"/>
          <w:szCs w:val="28"/>
          <w:highlight w:val="none"/>
        </w:rPr>
        <w:t>份、乙方执壹份，经双方签章后生效，具同等法律效力。</w:t>
      </w:r>
    </w:p>
    <w:p w14:paraId="25C23D95">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十四、竞争性磋商文件、竞争性磋商响应文件、澄清表（函）作为合同的组成部分。本合同未尽事宜，双方可以签订补充协议，补充协议经双方签章后与本合同具同等法律效力。</w:t>
      </w:r>
    </w:p>
    <w:p w14:paraId="539EBE34">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十五、双方因履行本合同所产生的一切争议，由双方友好协商解决，协商解决不成的，任一方可向甲方所在地人民法院提起诉讼。</w:t>
      </w:r>
    </w:p>
    <w:p w14:paraId="7B839B6F">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（以下无正文，仅签章）</w:t>
      </w:r>
    </w:p>
    <w:p w14:paraId="21149DC3">
      <w:pPr>
        <w:keepNext w:val="0"/>
        <w:keepLines w:val="0"/>
        <w:pageBreakBefore w:val="0"/>
        <w:widowControl w:val="0"/>
        <w:wordWrap/>
        <w:overflowPunct/>
        <w:topLinePunct w:val="0"/>
        <w:autoSpaceDE w:val="0"/>
        <w:autoSpaceDN w:val="0"/>
        <w:bidi w:val="0"/>
        <w:adjustRightInd w:val="0"/>
        <w:snapToGrid w:val="0"/>
        <w:spacing w:line="360" w:lineRule="auto"/>
        <w:ind w:firstLine="560"/>
        <w:jc w:val="left"/>
        <w:textAlignment w:val="baseline"/>
        <w:rPr>
          <w:rFonts w:hint="eastAsia" w:ascii="仿宋" w:hAnsi="仿宋" w:eastAsia="仿宋" w:cs="仿宋"/>
          <w:color w:val="auto"/>
          <w:kern w:val="0"/>
          <w:sz w:val="28"/>
          <w:szCs w:val="28"/>
          <w:highlight w:val="none"/>
        </w:rPr>
      </w:pPr>
    </w:p>
    <w:p w14:paraId="201CFD97">
      <w:pPr>
        <w:keepNext w:val="0"/>
        <w:keepLines w:val="0"/>
        <w:pageBreakBefore w:val="0"/>
        <w:widowControl w:val="0"/>
        <w:wordWrap/>
        <w:overflowPunct/>
        <w:topLinePunct w:val="0"/>
        <w:autoSpaceDE w:val="0"/>
        <w:autoSpaceDN w:val="0"/>
        <w:bidi w:val="0"/>
        <w:adjustRightInd w:val="0"/>
        <w:snapToGrid w:val="0"/>
        <w:spacing w:line="360" w:lineRule="auto"/>
        <w:ind w:firstLine="560"/>
        <w:jc w:val="left"/>
        <w:textAlignment w:val="baseline"/>
        <w:rPr>
          <w:rFonts w:hint="eastAsia" w:ascii="仿宋" w:hAnsi="仿宋" w:eastAsia="仿宋" w:cs="仿宋"/>
          <w:color w:val="auto"/>
          <w:kern w:val="0"/>
          <w:sz w:val="28"/>
          <w:szCs w:val="28"/>
          <w:highlight w:val="none"/>
        </w:rPr>
      </w:pPr>
    </w:p>
    <w:p w14:paraId="689FBC95">
      <w:pPr>
        <w:keepNext w:val="0"/>
        <w:keepLines w:val="0"/>
        <w:pageBreakBefore w:val="0"/>
        <w:widowControl w:val="0"/>
        <w:wordWrap/>
        <w:overflowPunct/>
        <w:topLinePunct w:val="0"/>
        <w:autoSpaceDE w:val="0"/>
        <w:autoSpaceDN w:val="0"/>
        <w:bidi w:val="0"/>
        <w:adjustRightInd w:val="0"/>
        <w:snapToGrid w:val="0"/>
        <w:spacing w:line="360" w:lineRule="auto"/>
        <w:ind w:firstLine="560"/>
        <w:jc w:val="left"/>
        <w:textAlignment w:val="baseline"/>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甲方：                </w:t>
      </w:r>
      <w:r>
        <w:rPr>
          <w:rFonts w:hint="eastAsia" w:ascii="仿宋" w:hAnsi="仿宋" w:eastAsia="仿宋" w:cs="仿宋"/>
          <w:color w:val="auto"/>
          <w:kern w:val="0"/>
          <w:sz w:val="28"/>
          <w:szCs w:val="28"/>
          <w:highlight w:val="none"/>
          <w:lang w:val="en-US" w:eastAsia="zh-CN"/>
        </w:rPr>
        <w:t xml:space="preserve">                      </w:t>
      </w:r>
      <w:r>
        <w:rPr>
          <w:rFonts w:hint="eastAsia" w:ascii="仿宋" w:hAnsi="仿宋" w:eastAsia="仿宋" w:cs="仿宋"/>
          <w:color w:val="auto"/>
          <w:kern w:val="0"/>
          <w:sz w:val="28"/>
          <w:szCs w:val="28"/>
          <w:highlight w:val="none"/>
        </w:rPr>
        <w:t xml:space="preserve">乙方： </w:t>
      </w:r>
    </w:p>
    <w:p w14:paraId="561BFFF2">
      <w:pPr>
        <w:keepNext w:val="0"/>
        <w:keepLines w:val="0"/>
        <w:pageBreakBefore w:val="0"/>
        <w:widowControl w:val="0"/>
        <w:wordWrap/>
        <w:overflowPunct/>
        <w:topLinePunct w:val="0"/>
        <w:autoSpaceDE w:val="0"/>
        <w:autoSpaceDN w:val="0"/>
        <w:bidi w:val="0"/>
        <w:adjustRightInd w:val="0"/>
        <w:snapToGrid w:val="0"/>
        <w:spacing w:line="360" w:lineRule="auto"/>
        <w:ind w:firstLine="560"/>
        <w:jc w:val="left"/>
        <w:textAlignment w:val="baseline"/>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法定代表人：          </w:t>
      </w:r>
      <w:r>
        <w:rPr>
          <w:rFonts w:hint="eastAsia" w:ascii="仿宋" w:hAnsi="仿宋" w:eastAsia="仿宋" w:cs="仿宋"/>
          <w:color w:val="auto"/>
          <w:kern w:val="0"/>
          <w:sz w:val="28"/>
          <w:szCs w:val="28"/>
          <w:highlight w:val="none"/>
          <w:lang w:val="en-US" w:eastAsia="zh-CN"/>
        </w:rPr>
        <w:t xml:space="preserve">                   </w:t>
      </w:r>
      <w:r>
        <w:rPr>
          <w:rFonts w:hint="eastAsia" w:ascii="仿宋" w:hAnsi="仿宋" w:eastAsia="仿宋" w:cs="仿宋"/>
          <w:color w:val="auto"/>
          <w:kern w:val="0"/>
          <w:sz w:val="28"/>
          <w:szCs w:val="28"/>
          <w:highlight w:val="none"/>
        </w:rPr>
        <w:t xml:space="preserve">法定代表人： </w:t>
      </w:r>
    </w:p>
    <w:p w14:paraId="4CC90A52">
      <w:pPr>
        <w:keepNext w:val="0"/>
        <w:keepLines w:val="0"/>
        <w:pageBreakBefore w:val="0"/>
        <w:widowControl w:val="0"/>
        <w:wordWrap/>
        <w:overflowPunct/>
        <w:topLinePunct w:val="0"/>
        <w:autoSpaceDE w:val="0"/>
        <w:autoSpaceDN w:val="0"/>
        <w:bidi w:val="0"/>
        <w:adjustRightInd w:val="0"/>
        <w:snapToGrid w:val="0"/>
        <w:spacing w:line="360" w:lineRule="auto"/>
        <w:ind w:firstLine="560"/>
        <w:jc w:val="left"/>
        <w:textAlignment w:val="baseline"/>
        <w:rPr>
          <w:rFonts w:hint="eastAsia" w:ascii="仿宋" w:hAnsi="仿宋" w:eastAsia="仿宋" w:cs="仿宋"/>
          <w:kern w:val="0"/>
          <w:sz w:val="28"/>
          <w:szCs w:val="28"/>
        </w:rPr>
      </w:pPr>
      <w:r>
        <w:rPr>
          <w:rFonts w:hint="eastAsia" w:ascii="仿宋" w:hAnsi="仿宋" w:eastAsia="仿宋" w:cs="仿宋"/>
          <w:kern w:val="0"/>
          <w:sz w:val="28"/>
          <w:szCs w:val="28"/>
        </w:rPr>
        <w:t xml:space="preserve">签订日期：            </w:t>
      </w: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rPr>
        <w:t xml:space="preserve">签订日期： </w:t>
      </w:r>
    </w:p>
    <w:p w14:paraId="543209E6">
      <w:pPr>
        <w:keepNext w:val="0"/>
        <w:keepLines w:val="0"/>
        <w:pageBreakBefore w:val="0"/>
        <w:widowControl w:val="0"/>
        <w:wordWrap/>
        <w:overflowPunct/>
        <w:topLinePunct w:val="0"/>
        <w:autoSpaceDE w:val="0"/>
        <w:autoSpaceDN w:val="0"/>
        <w:bidi w:val="0"/>
        <w:adjustRightInd w:val="0"/>
        <w:snapToGrid w:val="0"/>
        <w:textAlignment w:val="baseline"/>
        <w:rPr>
          <w:rFonts w:hint="eastAsia" w:ascii="宋体" w:hAnsi="宋体" w:eastAsia="宋体" w:cs="宋体"/>
          <w:b w:val="0"/>
          <w:bCs w:val="0"/>
          <w:color w:val="auto"/>
          <w:spacing w:val="-7"/>
          <w:sz w:val="24"/>
          <w:szCs w:val="24"/>
          <w:highlight w:val="none"/>
          <w14:textOutline w14:w="1525" w14:cap="flat" w14:cmpd="sng">
            <w14:solidFill>
              <w14:srgbClr w14:val="000000"/>
            </w14:solidFill>
            <w14:prstDash w14:val="solid"/>
            <w14:miter w14:val="0"/>
          </w14:textOutline>
        </w:rPr>
      </w:pPr>
    </w:p>
    <w:p w14:paraId="49CBBEC4">
      <w:pPr>
        <w:keepNext w:val="0"/>
        <w:keepLines w:val="0"/>
        <w:pageBreakBefore w:val="0"/>
        <w:widowControl w:val="0"/>
        <w:wordWrap/>
        <w:overflowPunct/>
        <w:topLinePunct w:val="0"/>
        <w:autoSpaceDE w:val="0"/>
        <w:autoSpaceDN w:val="0"/>
        <w:bidi w:val="0"/>
        <w:adjustRightInd w:val="0"/>
        <w:snapToGrid w:val="0"/>
        <w:textAlignment w:val="baseline"/>
      </w:pPr>
    </w:p>
    <w:p w14:paraId="2E41BA45">
      <w:pPr>
        <w:pStyle w:val="6"/>
        <w:rPr>
          <w:rFonts w:hint="eastAsia"/>
          <w:lang w:val="en-US" w:eastAsia="zh-Hans"/>
        </w:rPr>
      </w:pPr>
    </w:p>
    <w:p w14:paraId="557AEC60">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0E7FBB"/>
    <w:rsid w:val="31812F8D"/>
    <w:rsid w:val="410E7F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5"/>
    <w:qFormat/>
    <w:uiPriority w:val="0"/>
    <w:pPr>
      <w:keepNext/>
      <w:keepLines/>
      <w:spacing w:line="360" w:lineRule="auto"/>
      <w:jc w:val="center"/>
      <w:outlineLvl w:val="0"/>
    </w:pPr>
    <w:rPr>
      <w:rFonts w:ascii="Times New Roman" w:hAnsi="Times New Roman" w:eastAsia="宋体"/>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 Char Char5"/>
    <w:link w:val="2"/>
    <w:qFormat/>
    <w:uiPriority w:val="0"/>
    <w:rPr>
      <w:rFonts w:ascii="Times New Roman" w:hAnsi="Times New Roman" w:eastAsia="宋体"/>
      <w:b/>
      <w:kern w:val="44"/>
      <w:sz w:val="44"/>
    </w:rPr>
  </w:style>
  <w:style w:type="paragraph" w:customStyle="1" w:styleId="6">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2025-06-09T00:57:00Z</dcterms:created>
  <dc:creator>墨瞳</dc:creator>
  <cp:lastModifiedBy>墨瞳</cp:lastModifiedBy>
  <dcterms:modified xsi:type="dcterms:W3CDTF">2025-06-09T00:57:21Z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7265881701FF4CEA9658AFB5372D1ED9_11</vt:lpwstr>
  </property>
  <property fmtid="{D5CDD505-2E9C-101B-9397-08002B2CF9AE}" pid="4" name="KSOTemplateDocerSaveRecord">
    <vt:lpwstr>eyJoZGlkIjoiM2RhNGUzMWE0ZGY4ZTM5NTU5YjA1OGY3MzU5Y2Q1YjQiLCJ1c2VySWQiOiIyMjc2NzU3NzIifQ==</vt:lpwstr>
  </property>
</Properties>
</file>