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A3E4F4">
      <w:pPr>
        <w:keepNext w:val="0"/>
        <w:keepLines w:val="0"/>
        <w:pageBreakBefore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甲方（委托方）：</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69F30C69">
      <w:pPr>
        <w:keepNext w:val="0"/>
        <w:keepLines w:val="0"/>
        <w:pageBreakBefore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eastAsia="zh-CN"/>
        </w:rPr>
        <w:t>受托</w:t>
      </w:r>
      <w:r>
        <w:rPr>
          <w:rFonts w:hint="eastAsia" w:ascii="仿宋" w:hAnsi="仿宋" w:eastAsia="仿宋" w:cs="仿宋"/>
          <w:color w:val="auto"/>
          <w:sz w:val="24"/>
          <w:szCs w:val="24"/>
          <w:highlight w:val="none"/>
        </w:rPr>
        <w:t>方）：</w:t>
      </w:r>
      <w:r>
        <w:rPr>
          <w:rFonts w:hint="eastAsia" w:ascii="仿宋" w:hAnsi="仿宋" w:eastAsia="仿宋" w:cs="仿宋"/>
          <w:color w:val="auto"/>
          <w:sz w:val="24"/>
          <w:szCs w:val="24"/>
          <w:highlight w:val="none"/>
          <w:u w:val="single"/>
        </w:rPr>
        <w:t xml:space="preserve">                     </w:t>
      </w:r>
    </w:p>
    <w:p w14:paraId="72ACFBBD">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both"/>
        <w:textAlignment w:val="auto"/>
        <w:outlineLvl w:val="9"/>
        <w:rPr>
          <w:rFonts w:hint="eastAsia" w:ascii="仿宋" w:hAnsi="仿宋" w:eastAsia="仿宋" w:cs="仿宋"/>
          <w:b w:val="0"/>
          <w:color w:val="auto"/>
          <w:kern w:val="0"/>
          <w:sz w:val="24"/>
          <w:szCs w:val="24"/>
          <w:highlight w:val="none"/>
          <w:lang w:val="en-US" w:eastAsia="zh-CN" w:bidi="ar-SA"/>
        </w:rPr>
      </w:pPr>
      <w:r>
        <w:rPr>
          <w:rFonts w:hint="eastAsia" w:ascii="仿宋" w:hAnsi="仿宋" w:eastAsia="仿宋" w:cs="仿宋"/>
          <w:b w:val="0"/>
          <w:color w:val="auto"/>
          <w:kern w:val="0"/>
          <w:sz w:val="24"/>
          <w:szCs w:val="24"/>
          <w:highlight w:val="none"/>
          <w:lang w:val="en-US" w:eastAsia="zh-CN" w:bidi="ar-SA"/>
        </w:rPr>
        <w:t>根据《中华人民共和国民法典》、《中华人民共和国政府采购法》与项目行业有关的法律法规，以及本项目</w:t>
      </w:r>
      <w:r>
        <w:rPr>
          <w:rFonts w:hint="eastAsia" w:ascii="仿宋" w:hAnsi="仿宋" w:eastAsia="仿宋" w:cs="仿宋"/>
          <w:b w:val="0"/>
          <w:color w:val="auto"/>
          <w:kern w:val="0"/>
          <w:sz w:val="24"/>
          <w:szCs w:val="24"/>
          <w:highlight w:val="none"/>
          <w:u w:val="single"/>
          <w:lang w:val="en-US" w:eastAsia="zh-CN" w:bidi="ar-SA"/>
        </w:rPr>
        <w:t>2025年农村税费改革义务教育转移支付资金建设项目</w:t>
      </w:r>
      <w:r>
        <w:rPr>
          <w:rFonts w:hint="eastAsia" w:ascii="仿宋" w:hAnsi="仿宋" w:eastAsia="仿宋" w:cs="仿宋"/>
          <w:b w:val="0"/>
          <w:color w:val="auto"/>
          <w:kern w:val="0"/>
          <w:sz w:val="24"/>
          <w:szCs w:val="24"/>
          <w:highlight w:val="none"/>
          <w:lang w:val="en-US" w:eastAsia="zh-CN" w:bidi="ar-SA"/>
        </w:rPr>
        <w:t>（项目编号：HXGJXM2025-ZC-JT1003）相关采购要求的规定，合同双方就乙方向采购方提供</w:t>
      </w:r>
      <w:r>
        <w:rPr>
          <w:rFonts w:hint="eastAsia" w:ascii="仿宋" w:hAnsi="仿宋" w:eastAsia="仿宋" w:cs="仿宋"/>
          <w:b w:val="0"/>
          <w:color w:val="auto"/>
          <w:kern w:val="0"/>
          <w:sz w:val="24"/>
          <w:szCs w:val="24"/>
          <w:highlight w:val="none"/>
          <w:u w:val="single"/>
          <w:lang w:val="en-US" w:eastAsia="zh-CN" w:bidi="ar-SA"/>
        </w:rPr>
        <w:t xml:space="preserve"> 2025年农村税费改革义务教育转移支付资金建设项目 </w:t>
      </w:r>
      <w:r>
        <w:rPr>
          <w:rFonts w:hint="eastAsia" w:ascii="仿宋" w:hAnsi="仿宋" w:eastAsia="仿宋" w:cs="仿宋"/>
          <w:b w:val="0"/>
          <w:color w:val="auto"/>
          <w:kern w:val="0"/>
          <w:sz w:val="24"/>
          <w:szCs w:val="24"/>
          <w:highlight w:val="none"/>
          <w:lang w:val="en-US" w:eastAsia="zh-CN" w:bidi="ar-SA"/>
        </w:rPr>
        <w:t>事宜，经协商达成一致，确立本合同。</w:t>
      </w:r>
    </w:p>
    <w:p w14:paraId="124B1F8B">
      <w:pPr>
        <w:pStyle w:val="12"/>
        <w:keepNext w:val="0"/>
        <w:keepLines w:val="0"/>
        <w:pageBreakBefore w:val="0"/>
        <w:kinsoku/>
        <w:wordWrap/>
        <w:overflowPunct/>
        <w:topLinePunct w:val="0"/>
        <w:autoSpaceDE/>
        <w:autoSpaceDN/>
        <w:bidi w:val="0"/>
        <w:adjustRightInd/>
        <w:snapToGrid/>
        <w:spacing w:line="360" w:lineRule="auto"/>
        <w:ind w:left="0" w:firstLine="482" w:firstLineChars="200"/>
        <w:textAlignment w:val="auto"/>
        <w:outlineLvl w:val="9"/>
        <w:rPr>
          <w:rFonts w:hint="eastAsia" w:ascii="仿宋" w:hAnsi="仿宋" w:eastAsia="仿宋" w:cs="仿宋"/>
          <w:b/>
          <w:color w:val="auto"/>
          <w:sz w:val="24"/>
          <w:szCs w:val="24"/>
          <w:highlight w:val="none"/>
        </w:rPr>
      </w:pPr>
      <w:bookmarkStart w:id="0" w:name="_Toc23305"/>
      <w:bookmarkStart w:id="1" w:name="_Toc10520"/>
      <w:r>
        <w:rPr>
          <w:rFonts w:hint="eastAsia" w:ascii="仿宋" w:hAnsi="仿宋" w:eastAsia="仿宋" w:cs="仿宋"/>
          <w:b/>
          <w:color w:val="auto"/>
          <w:sz w:val="24"/>
          <w:szCs w:val="24"/>
          <w:highlight w:val="none"/>
        </w:rPr>
        <w:t>第一条：合同标的及付款方式</w:t>
      </w:r>
      <w:bookmarkEnd w:id="0"/>
      <w:bookmarkEnd w:id="1"/>
    </w:p>
    <w:p w14:paraId="0829AAF6">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outlineLvl w:val="9"/>
        <w:rPr>
          <w:rFonts w:hint="eastAsia" w:ascii="仿宋" w:hAnsi="仿宋" w:eastAsia="仿宋" w:cs="仿宋"/>
          <w:color w:val="auto"/>
          <w:sz w:val="24"/>
          <w:szCs w:val="24"/>
          <w:highlight w:val="none"/>
          <w:u w:val="single"/>
          <w:lang w:val="en-US" w:eastAsia="zh-CN"/>
        </w:rPr>
      </w:pPr>
      <w:bookmarkStart w:id="2" w:name="_Toc4982"/>
      <w:bookmarkStart w:id="3" w:name="_Toc7695"/>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合同标的及标的物</w:t>
      </w:r>
      <w:bookmarkEnd w:id="2"/>
      <w:bookmarkEnd w:id="3"/>
      <w:r>
        <w:rPr>
          <w:rFonts w:hint="eastAsia" w:ascii="仿宋" w:hAnsi="仿宋" w:eastAsia="仿宋" w:cs="仿宋"/>
          <w:color w:val="auto"/>
          <w:sz w:val="24"/>
          <w:szCs w:val="24"/>
          <w:highlight w:val="none"/>
          <w:lang w:eastAsia="zh-CN"/>
        </w:rPr>
        <w:t>：</w:t>
      </w:r>
      <w:r>
        <w:rPr>
          <w:rFonts w:hint="eastAsia" w:ascii="仿宋" w:hAnsi="仿宋" w:eastAsia="仿宋" w:cs="仿宋"/>
          <w:b w:val="0"/>
          <w:color w:val="auto"/>
          <w:kern w:val="0"/>
          <w:sz w:val="24"/>
          <w:szCs w:val="24"/>
          <w:highlight w:val="none"/>
          <w:u w:val="single"/>
          <w:lang w:val="en-US" w:eastAsia="zh-CN" w:bidi="ar-SA"/>
        </w:rPr>
        <w:t>2025年农村税费改革义务教育转移支付资金建设项目</w:t>
      </w:r>
      <w:r>
        <w:rPr>
          <w:rFonts w:hint="eastAsia" w:ascii="仿宋" w:hAnsi="仿宋" w:eastAsia="仿宋" w:cs="仿宋"/>
          <w:color w:val="auto"/>
          <w:sz w:val="24"/>
          <w:szCs w:val="24"/>
          <w:highlight w:val="none"/>
          <w:lang w:eastAsia="zh-CN"/>
        </w:rPr>
        <w:t xml:space="preserve"> </w:t>
      </w:r>
    </w:p>
    <w:p w14:paraId="74CCF64A">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outlineLvl w:val="9"/>
        <w:rPr>
          <w:rFonts w:hint="eastAsia" w:ascii="仿宋" w:hAnsi="仿宋" w:eastAsia="仿宋" w:cs="仿宋"/>
          <w:color w:val="auto"/>
          <w:szCs w:val="24"/>
          <w:highlight w:val="none"/>
        </w:rPr>
      </w:pPr>
      <w:bookmarkStart w:id="4" w:name="_Toc1881"/>
      <w:bookmarkStart w:id="5" w:name="_Toc22018"/>
      <w:r>
        <w:rPr>
          <w:rFonts w:hint="eastAsia" w:ascii="仿宋" w:hAnsi="仿宋" w:eastAsia="仿宋" w:cs="仿宋"/>
          <w:color w:val="auto"/>
          <w:szCs w:val="24"/>
          <w:highlight w:val="none"/>
        </w:rPr>
        <w:t>附分项清单：</w:t>
      </w:r>
    </w:p>
    <w:tbl>
      <w:tblPr>
        <w:tblStyle w:val="8"/>
        <w:tblW w:w="8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0"/>
        <w:gridCol w:w="960"/>
        <w:gridCol w:w="1685"/>
        <w:gridCol w:w="1458"/>
        <w:gridCol w:w="1064"/>
        <w:gridCol w:w="1173"/>
        <w:gridCol w:w="1328"/>
      </w:tblGrid>
      <w:tr w14:paraId="58F2F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exact"/>
          <w:jc w:val="center"/>
        </w:trPr>
        <w:tc>
          <w:tcPr>
            <w:tcW w:w="1000" w:type="dxa"/>
            <w:noWrap w:val="0"/>
            <w:vAlign w:val="center"/>
          </w:tcPr>
          <w:p w14:paraId="063D7DA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序号</w:t>
            </w:r>
          </w:p>
        </w:tc>
        <w:tc>
          <w:tcPr>
            <w:tcW w:w="960" w:type="dxa"/>
            <w:noWrap w:val="0"/>
            <w:vAlign w:val="center"/>
          </w:tcPr>
          <w:p w14:paraId="2D877D7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名称</w:t>
            </w:r>
          </w:p>
        </w:tc>
        <w:tc>
          <w:tcPr>
            <w:tcW w:w="1685" w:type="dxa"/>
            <w:noWrap w:val="0"/>
            <w:vAlign w:val="center"/>
          </w:tcPr>
          <w:p w14:paraId="5454BA0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仿宋" w:hAnsi="仿宋" w:eastAsia="仿宋" w:cs="仿宋"/>
                <w:color w:val="auto"/>
                <w:szCs w:val="24"/>
                <w:highlight w:val="none"/>
                <w:lang w:val="en-US" w:eastAsia="zh-CN"/>
              </w:rPr>
            </w:pPr>
            <w:r>
              <w:rPr>
                <w:rFonts w:hint="eastAsia" w:ascii="仿宋" w:hAnsi="仿宋" w:eastAsia="仿宋" w:cs="仿宋"/>
                <w:color w:val="auto"/>
                <w:szCs w:val="24"/>
                <w:highlight w:val="none"/>
              </w:rPr>
              <w:t>品牌</w:t>
            </w:r>
            <w:r>
              <w:rPr>
                <w:rFonts w:hint="eastAsia" w:ascii="仿宋" w:hAnsi="仿宋" w:eastAsia="仿宋" w:cs="仿宋"/>
                <w:color w:val="auto"/>
                <w:szCs w:val="24"/>
                <w:highlight w:val="none"/>
                <w:lang w:eastAsia="zh-CN"/>
              </w:rPr>
              <w:t>、</w:t>
            </w:r>
            <w:r>
              <w:rPr>
                <w:rFonts w:hint="eastAsia" w:ascii="仿宋" w:hAnsi="仿宋" w:eastAsia="仿宋" w:cs="仿宋"/>
                <w:color w:val="auto"/>
                <w:szCs w:val="24"/>
                <w:highlight w:val="none"/>
                <w:lang w:val="en-US" w:eastAsia="zh-CN"/>
              </w:rPr>
              <w:t>制造商</w:t>
            </w:r>
          </w:p>
        </w:tc>
        <w:tc>
          <w:tcPr>
            <w:tcW w:w="1458" w:type="dxa"/>
            <w:noWrap w:val="0"/>
            <w:vAlign w:val="center"/>
          </w:tcPr>
          <w:p w14:paraId="2152F6B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规格型号</w:t>
            </w:r>
          </w:p>
        </w:tc>
        <w:tc>
          <w:tcPr>
            <w:tcW w:w="1064" w:type="dxa"/>
            <w:noWrap w:val="0"/>
            <w:vAlign w:val="center"/>
          </w:tcPr>
          <w:p w14:paraId="63BC67C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rPr>
              <w:t>数量</w:t>
            </w:r>
            <w:r>
              <w:rPr>
                <w:rFonts w:hint="eastAsia" w:ascii="仿宋" w:hAnsi="仿宋" w:eastAsia="仿宋" w:cs="仿宋"/>
                <w:color w:val="auto"/>
                <w:szCs w:val="24"/>
                <w:highlight w:val="none"/>
                <w:lang w:eastAsia="zh-CN"/>
              </w:rPr>
              <w:t>（</w:t>
            </w:r>
            <w:r>
              <w:rPr>
                <w:rFonts w:hint="eastAsia" w:ascii="仿宋" w:hAnsi="仿宋" w:eastAsia="仿宋" w:cs="仿宋"/>
                <w:color w:val="auto"/>
                <w:szCs w:val="24"/>
                <w:highlight w:val="none"/>
                <w:lang w:val="en-US" w:eastAsia="zh-CN"/>
              </w:rPr>
              <w:t>个</w:t>
            </w:r>
            <w:r>
              <w:rPr>
                <w:rFonts w:hint="eastAsia" w:ascii="仿宋" w:hAnsi="仿宋" w:eastAsia="仿宋" w:cs="仿宋"/>
                <w:color w:val="auto"/>
                <w:szCs w:val="24"/>
                <w:highlight w:val="none"/>
                <w:lang w:eastAsia="zh-CN"/>
              </w:rPr>
              <w:t>）</w:t>
            </w:r>
          </w:p>
        </w:tc>
        <w:tc>
          <w:tcPr>
            <w:tcW w:w="1173" w:type="dxa"/>
            <w:noWrap w:val="0"/>
            <w:vAlign w:val="center"/>
          </w:tcPr>
          <w:p w14:paraId="28151C1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单价</w:t>
            </w:r>
          </w:p>
          <w:p w14:paraId="6E7C195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（元）</w:t>
            </w:r>
          </w:p>
        </w:tc>
        <w:tc>
          <w:tcPr>
            <w:tcW w:w="1328" w:type="dxa"/>
            <w:noWrap w:val="0"/>
            <w:vAlign w:val="center"/>
          </w:tcPr>
          <w:p w14:paraId="707894A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合计</w:t>
            </w:r>
          </w:p>
          <w:p w14:paraId="47C9F62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（元）</w:t>
            </w:r>
          </w:p>
        </w:tc>
      </w:tr>
      <w:tr w14:paraId="764EB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1000" w:type="dxa"/>
            <w:noWrap w:val="0"/>
            <w:vAlign w:val="center"/>
          </w:tcPr>
          <w:p w14:paraId="7A7EC675">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960" w:type="dxa"/>
            <w:noWrap w:val="0"/>
            <w:vAlign w:val="center"/>
          </w:tcPr>
          <w:p w14:paraId="500A6A18">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685" w:type="dxa"/>
            <w:noWrap w:val="0"/>
            <w:vAlign w:val="center"/>
          </w:tcPr>
          <w:p w14:paraId="6F93F45F">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458" w:type="dxa"/>
            <w:noWrap w:val="0"/>
            <w:vAlign w:val="center"/>
          </w:tcPr>
          <w:p w14:paraId="0B0DBD7F">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064" w:type="dxa"/>
            <w:noWrap w:val="0"/>
            <w:vAlign w:val="center"/>
          </w:tcPr>
          <w:p w14:paraId="73E3C04D">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173" w:type="dxa"/>
            <w:noWrap w:val="0"/>
            <w:vAlign w:val="center"/>
          </w:tcPr>
          <w:p w14:paraId="5953A3F4">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328" w:type="dxa"/>
            <w:noWrap w:val="0"/>
            <w:vAlign w:val="center"/>
          </w:tcPr>
          <w:p w14:paraId="51CC2532">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r>
      <w:tr w14:paraId="247E5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1000" w:type="dxa"/>
            <w:noWrap w:val="0"/>
            <w:vAlign w:val="center"/>
          </w:tcPr>
          <w:p w14:paraId="48B2FB4C">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960" w:type="dxa"/>
            <w:noWrap w:val="0"/>
            <w:vAlign w:val="center"/>
          </w:tcPr>
          <w:p w14:paraId="14675618">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685" w:type="dxa"/>
            <w:noWrap w:val="0"/>
            <w:vAlign w:val="center"/>
          </w:tcPr>
          <w:p w14:paraId="7E47EC64">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458" w:type="dxa"/>
            <w:noWrap w:val="0"/>
            <w:vAlign w:val="center"/>
          </w:tcPr>
          <w:p w14:paraId="0C736D1A">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064" w:type="dxa"/>
            <w:noWrap w:val="0"/>
            <w:vAlign w:val="center"/>
          </w:tcPr>
          <w:p w14:paraId="6CAA2F0A">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173" w:type="dxa"/>
            <w:noWrap w:val="0"/>
            <w:vAlign w:val="center"/>
          </w:tcPr>
          <w:p w14:paraId="2E82B0CB">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328" w:type="dxa"/>
            <w:noWrap w:val="0"/>
            <w:vAlign w:val="center"/>
          </w:tcPr>
          <w:p w14:paraId="7D080560">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r>
    </w:tbl>
    <w:p w14:paraId="368B858D">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w:t>
      </w:r>
      <w:bookmarkEnd w:id="4"/>
      <w:bookmarkEnd w:id="5"/>
      <w:r>
        <w:rPr>
          <w:rFonts w:hint="eastAsia" w:ascii="仿宋" w:hAnsi="仿宋" w:eastAsia="仿宋" w:cs="仿宋"/>
          <w:color w:val="auto"/>
          <w:sz w:val="24"/>
          <w:szCs w:val="24"/>
          <w:highlight w:val="none"/>
          <w:lang w:val="en-US" w:eastAsia="zh-CN"/>
        </w:rPr>
        <w:t>合同价款</w:t>
      </w:r>
    </w:p>
    <w:p w14:paraId="71022E9E">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①合同总价款为人民币</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大写</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w:t>
      </w:r>
    </w:p>
    <w:p w14:paraId="47479E5E">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②合同总价包括：设备（产品）费、安装调试费、运杂费（含保险）、仓储保管费、技术培训费、质保期维护、招标代理服务费、税金等其他一切相关费用。</w:t>
      </w:r>
    </w:p>
    <w:p w14:paraId="625B461F">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③合同总价一次性包死，不受市场价格变化因素的影响。</w:t>
      </w:r>
    </w:p>
    <w:p w14:paraId="49BBB4AB">
      <w:pPr>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lang w:val="en-US" w:eastAsia="zh-CN" w:bidi="ar-SA"/>
        </w:rPr>
        <w:t>3.</w:t>
      </w:r>
      <w:r>
        <w:rPr>
          <w:rFonts w:hint="eastAsia" w:ascii="仿宋" w:hAnsi="仿宋" w:eastAsia="仿宋" w:cs="仿宋"/>
          <w:color w:val="auto"/>
          <w:sz w:val="24"/>
          <w:szCs w:val="24"/>
          <w:highlight w:val="none"/>
        </w:rPr>
        <w:t>款项结算</w:t>
      </w:r>
    </w:p>
    <w:p w14:paraId="187FC333">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合同款的支付：以甲乙双方最终签订的合同为准。</w:t>
      </w:r>
    </w:p>
    <w:p w14:paraId="4AB5F4CF">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）结算方式：银行转账。</w:t>
      </w:r>
    </w:p>
    <w:p w14:paraId="1EBACA6A">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）支付方式：</w:t>
      </w:r>
      <w:r>
        <w:rPr>
          <w:rFonts w:hint="eastAsia" w:ascii="仿宋" w:hAnsi="仿宋" w:eastAsia="仿宋" w:cs="仿宋"/>
          <w:color w:val="auto"/>
          <w:sz w:val="24"/>
          <w:szCs w:val="24"/>
          <w:highlight w:val="none"/>
          <w:lang w:val="zh-CN"/>
        </w:rPr>
        <w:t>由</w:t>
      </w:r>
      <w:r>
        <w:rPr>
          <w:rFonts w:hint="eastAsia" w:ascii="仿宋" w:hAnsi="仿宋" w:eastAsia="仿宋" w:cs="仿宋"/>
          <w:color w:val="auto"/>
          <w:sz w:val="24"/>
          <w:szCs w:val="24"/>
          <w:highlight w:val="none"/>
        </w:rPr>
        <w:t>甲方</w:t>
      </w:r>
      <w:r>
        <w:rPr>
          <w:rFonts w:hint="eastAsia" w:ascii="仿宋" w:hAnsi="仿宋" w:eastAsia="仿宋" w:cs="仿宋"/>
          <w:color w:val="auto"/>
          <w:sz w:val="24"/>
          <w:szCs w:val="24"/>
          <w:highlight w:val="none"/>
          <w:lang w:val="zh-CN"/>
        </w:rPr>
        <w:t>负责结算，合同签订后，乙方在接受每次付款前，开具等额发票给甲方。</w:t>
      </w:r>
    </w:p>
    <w:p w14:paraId="731D6677">
      <w:pPr>
        <w:keepNext w:val="0"/>
        <w:keepLines w:val="0"/>
        <w:pageBreakBefore w:val="0"/>
        <w:tabs>
          <w:tab w:val="left" w:pos="6276"/>
        </w:tabs>
        <w:kinsoku/>
        <w:wordWrap/>
        <w:overflowPunct/>
        <w:topLinePunct w:val="0"/>
        <w:autoSpaceDE/>
        <w:autoSpaceDN/>
        <w:bidi w:val="0"/>
        <w:adjustRightInd/>
        <w:snapToGrid/>
        <w:spacing w:line="360" w:lineRule="auto"/>
        <w:ind w:left="0" w:firstLine="480" w:firstLineChars="200"/>
        <w:textAlignment w:val="auto"/>
        <w:outlineLvl w:val="9"/>
        <w:rPr>
          <w:rFonts w:hint="eastAsia" w:ascii="仿宋" w:hAnsi="仿宋" w:eastAsia="仿宋" w:cs="仿宋"/>
          <w:b/>
          <w:color w:val="auto"/>
          <w:sz w:val="24"/>
          <w:szCs w:val="24"/>
          <w:highlight w:val="none"/>
        </w:rPr>
      </w:pPr>
      <w:bookmarkStart w:id="6" w:name="_Toc1825"/>
      <w:bookmarkStart w:id="7" w:name="_Toc30795"/>
      <w:r>
        <w:rPr>
          <w:rFonts w:hint="eastAsia" w:ascii="仿宋" w:hAnsi="仿宋" w:eastAsia="仿宋" w:cs="仿宋"/>
          <w:b w:val="0"/>
          <w:bCs/>
          <w:color w:val="auto"/>
          <w:sz w:val="24"/>
          <w:szCs w:val="24"/>
          <w:highlight w:val="none"/>
        </w:rPr>
        <w:t>全部货物到达采购人指定地点并安装验收合格后，达到付款条件起30日内，支付合同总金额的100.00%。</w:t>
      </w:r>
    </w:p>
    <w:p w14:paraId="6662EA59">
      <w:pPr>
        <w:keepNext w:val="0"/>
        <w:keepLines w:val="0"/>
        <w:pageBreakBefore w:val="0"/>
        <w:tabs>
          <w:tab w:val="left" w:pos="6276"/>
        </w:tabs>
        <w:kinsoku/>
        <w:wordWrap/>
        <w:overflowPunct/>
        <w:topLinePunct w:val="0"/>
        <w:autoSpaceDE/>
        <w:autoSpaceDN/>
        <w:bidi w:val="0"/>
        <w:adjustRightInd/>
        <w:snapToGrid/>
        <w:spacing w:line="360" w:lineRule="auto"/>
        <w:ind w:left="0" w:firstLine="482" w:firstLineChars="200"/>
        <w:textAlignment w:val="auto"/>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第二条：项目</w:t>
      </w:r>
      <w:r>
        <w:rPr>
          <w:rFonts w:hint="eastAsia" w:ascii="仿宋" w:hAnsi="仿宋" w:eastAsia="仿宋" w:cs="仿宋"/>
          <w:b/>
          <w:color w:val="auto"/>
          <w:sz w:val="24"/>
          <w:szCs w:val="24"/>
          <w:highlight w:val="none"/>
          <w:lang w:val="en-US" w:eastAsia="zh-CN"/>
        </w:rPr>
        <w:t>服务地点、交货期及</w:t>
      </w:r>
      <w:r>
        <w:rPr>
          <w:rFonts w:hint="eastAsia" w:ascii="仿宋" w:hAnsi="仿宋" w:eastAsia="仿宋" w:cs="仿宋"/>
          <w:b/>
          <w:color w:val="auto"/>
          <w:sz w:val="24"/>
          <w:szCs w:val="24"/>
          <w:highlight w:val="none"/>
          <w:lang w:eastAsia="zh-CN"/>
        </w:rPr>
        <w:t>质保</w:t>
      </w:r>
      <w:r>
        <w:rPr>
          <w:rFonts w:hint="eastAsia" w:ascii="仿宋" w:hAnsi="仿宋" w:eastAsia="仿宋" w:cs="仿宋"/>
          <w:b/>
          <w:color w:val="auto"/>
          <w:sz w:val="24"/>
          <w:szCs w:val="24"/>
          <w:highlight w:val="none"/>
        </w:rPr>
        <w:t>期</w:t>
      </w:r>
      <w:bookmarkEnd w:id="6"/>
      <w:bookmarkEnd w:id="7"/>
    </w:p>
    <w:p w14:paraId="23271ACD">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交货</w:t>
      </w:r>
      <w:r>
        <w:rPr>
          <w:rFonts w:hint="eastAsia" w:ascii="仿宋" w:hAnsi="仿宋" w:eastAsia="仿宋" w:cs="仿宋"/>
          <w:color w:val="auto"/>
          <w:sz w:val="24"/>
          <w:szCs w:val="24"/>
          <w:highlight w:val="none"/>
        </w:rPr>
        <w:t>地点：甲方指定地点</w:t>
      </w:r>
    </w:p>
    <w:p w14:paraId="34B3395F">
      <w:pPr>
        <w:pStyle w:val="5"/>
        <w:keepNext w:val="0"/>
        <w:keepLines w:val="0"/>
        <w:pageBreakBefore w:val="0"/>
        <w:kinsoku/>
        <w:wordWrap/>
        <w:overflowPunct/>
        <w:topLinePunct w:val="0"/>
        <w:autoSpaceDE/>
        <w:autoSpaceDN/>
        <w:bidi w:val="0"/>
        <w:adjustRightInd/>
        <w:snapToGrid/>
        <w:spacing w:after="0" w:afterLines="0" w:line="360" w:lineRule="auto"/>
        <w:ind w:left="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交货期：自合同签订之日起30个日历日完成全部项目内容，并交付采购人验收合格。</w:t>
      </w:r>
    </w:p>
    <w:p w14:paraId="2E199CAE">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outlineLvl w:val="9"/>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质保期：</w:t>
      </w:r>
      <w:bookmarkStart w:id="8" w:name="_Toc12534"/>
      <w:bookmarkStart w:id="9" w:name="_Toc5462"/>
      <w:r>
        <w:rPr>
          <w:rFonts w:hint="eastAsia" w:ascii="仿宋" w:hAnsi="仿宋" w:eastAsia="仿宋" w:cs="仿宋"/>
          <w:color w:val="auto"/>
          <w:kern w:val="2"/>
          <w:sz w:val="24"/>
          <w:szCs w:val="24"/>
          <w:highlight w:val="none"/>
          <w:lang w:val="en-US" w:eastAsia="zh-CN" w:bidi="ar-SA"/>
        </w:rPr>
        <w:t>验收合格后2年</w:t>
      </w:r>
      <w:r>
        <w:rPr>
          <w:rFonts w:hint="eastAsia" w:ascii="仿宋" w:hAnsi="仿宋" w:eastAsia="仿宋" w:cs="仿宋"/>
          <w:color w:val="000000"/>
          <w:sz w:val="24"/>
          <w:szCs w:val="24"/>
          <w:highlight w:val="none"/>
          <w:lang w:val="en-US" w:eastAsia="zh-CN"/>
        </w:rPr>
        <w:t>。</w:t>
      </w:r>
    </w:p>
    <w:p w14:paraId="5FEA0111">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第三条：</w:t>
      </w:r>
      <w:r>
        <w:rPr>
          <w:rFonts w:hint="eastAsia" w:ascii="仿宋" w:hAnsi="仿宋" w:eastAsia="仿宋" w:cs="仿宋"/>
          <w:b/>
          <w:color w:val="auto"/>
          <w:sz w:val="24"/>
          <w:szCs w:val="24"/>
          <w:highlight w:val="none"/>
          <w:lang w:val="en-US" w:eastAsia="zh-CN"/>
        </w:rPr>
        <w:t>交货</w:t>
      </w:r>
      <w:r>
        <w:rPr>
          <w:rFonts w:hint="eastAsia" w:ascii="仿宋" w:hAnsi="仿宋" w:eastAsia="仿宋" w:cs="仿宋"/>
          <w:b/>
          <w:color w:val="auto"/>
          <w:sz w:val="24"/>
          <w:szCs w:val="24"/>
          <w:highlight w:val="none"/>
        </w:rPr>
        <w:t>内容及标准</w:t>
      </w:r>
      <w:bookmarkEnd w:id="8"/>
      <w:bookmarkEnd w:id="9"/>
    </w:p>
    <w:p w14:paraId="549C64B6">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具体内容以</w:t>
      </w:r>
      <w:r>
        <w:rPr>
          <w:rFonts w:hint="eastAsia" w:ascii="仿宋" w:hAnsi="仿宋" w:eastAsia="仿宋" w:cs="仿宋"/>
          <w:color w:val="auto"/>
          <w:sz w:val="24"/>
          <w:szCs w:val="24"/>
          <w:highlight w:val="none"/>
          <w:lang w:val="en-US" w:eastAsia="zh-CN"/>
        </w:rPr>
        <w:t>竞争性磋商</w:t>
      </w:r>
      <w:r>
        <w:rPr>
          <w:rFonts w:hint="eastAsia" w:ascii="仿宋" w:hAnsi="仿宋" w:eastAsia="仿宋" w:cs="仿宋"/>
          <w:color w:val="auto"/>
          <w:sz w:val="24"/>
          <w:szCs w:val="24"/>
          <w:highlight w:val="none"/>
        </w:rPr>
        <w:t>文件“第</w:t>
      </w:r>
      <w:r>
        <w:rPr>
          <w:rFonts w:hint="eastAsia" w:ascii="仿宋" w:hAnsi="仿宋" w:eastAsia="仿宋" w:cs="仿宋"/>
          <w:color w:val="auto"/>
          <w:sz w:val="24"/>
          <w:szCs w:val="24"/>
          <w:highlight w:val="none"/>
          <w:lang w:val="en-US" w:eastAsia="zh-CN"/>
        </w:rPr>
        <w:t>三</w:t>
      </w:r>
      <w:r>
        <w:rPr>
          <w:rFonts w:hint="eastAsia" w:ascii="仿宋" w:hAnsi="仿宋" w:eastAsia="仿宋" w:cs="仿宋"/>
          <w:color w:val="auto"/>
          <w:sz w:val="24"/>
          <w:szCs w:val="24"/>
          <w:highlight w:val="none"/>
        </w:rPr>
        <w:t>章谈判项目技术、服务、商务及其他要求”以及</w:t>
      </w:r>
      <w:r>
        <w:rPr>
          <w:rFonts w:hint="eastAsia" w:ascii="仿宋" w:hAnsi="仿宋" w:eastAsia="仿宋" w:cs="仿宋"/>
          <w:color w:val="auto"/>
          <w:sz w:val="24"/>
          <w:szCs w:val="24"/>
          <w:highlight w:val="none"/>
          <w:lang w:val="en-US" w:eastAsia="zh-CN"/>
        </w:rPr>
        <w:t>成交</w:t>
      </w:r>
      <w:r>
        <w:rPr>
          <w:rFonts w:hint="eastAsia" w:ascii="仿宋" w:hAnsi="仿宋" w:eastAsia="仿宋" w:cs="仿宋"/>
          <w:color w:val="auto"/>
          <w:sz w:val="24"/>
          <w:szCs w:val="24"/>
          <w:highlight w:val="none"/>
        </w:rPr>
        <w:t>供应商“</w:t>
      </w:r>
      <w:r>
        <w:rPr>
          <w:rFonts w:hint="eastAsia" w:ascii="仿宋" w:hAnsi="仿宋" w:eastAsia="仿宋" w:cs="仿宋"/>
          <w:color w:val="auto"/>
          <w:sz w:val="24"/>
          <w:szCs w:val="24"/>
          <w:highlight w:val="none"/>
          <w:lang w:val="en-US" w:eastAsia="zh-CN"/>
        </w:rPr>
        <w:t>谈判响应</w:t>
      </w:r>
      <w:r>
        <w:rPr>
          <w:rFonts w:hint="eastAsia" w:ascii="仿宋" w:hAnsi="仿宋" w:eastAsia="仿宋" w:cs="仿宋"/>
          <w:color w:val="auto"/>
          <w:sz w:val="24"/>
          <w:szCs w:val="24"/>
          <w:highlight w:val="none"/>
        </w:rPr>
        <w:t>文件”为准。</w:t>
      </w:r>
    </w:p>
    <w:p w14:paraId="2C53AFC6">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outlineLvl w:val="9"/>
        <w:rPr>
          <w:rFonts w:hint="eastAsia" w:ascii="仿宋" w:hAnsi="仿宋" w:eastAsia="仿宋" w:cs="仿宋"/>
          <w:b/>
          <w:color w:val="auto"/>
          <w:sz w:val="24"/>
          <w:szCs w:val="24"/>
          <w:highlight w:val="none"/>
          <w:lang w:eastAsia="zh-CN"/>
        </w:rPr>
      </w:pPr>
      <w:bookmarkStart w:id="10" w:name="_Toc2397"/>
      <w:bookmarkStart w:id="11" w:name="_Toc10021"/>
      <w:r>
        <w:rPr>
          <w:rFonts w:hint="eastAsia" w:ascii="仿宋" w:hAnsi="仿宋" w:eastAsia="仿宋" w:cs="仿宋"/>
          <w:b/>
          <w:color w:val="auto"/>
          <w:sz w:val="24"/>
          <w:szCs w:val="24"/>
          <w:highlight w:val="none"/>
        </w:rPr>
        <w:t>第四条：合同</w:t>
      </w:r>
      <w:r>
        <w:rPr>
          <w:rFonts w:hint="eastAsia" w:ascii="仿宋" w:hAnsi="仿宋" w:eastAsia="仿宋" w:cs="仿宋"/>
          <w:b/>
          <w:color w:val="auto"/>
          <w:sz w:val="24"/>
          <w:szCs w:val="24"/>
          <w:highlight w:val="none"/>
          <w:lang w:eastAsia="zh-CN"/>
        </w:rPr>
        <w:t>生效</w:t>
      </w:r>
      <w:bookmarkEnd w:id="10"/>
      <w:bookmarkEnd w:id="11"/>
    </w:p>
    <w:p w14:paraId="6715B447">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本合同自双方代表签字、盖章之日起生效。</w:t>
      </w:r>
    </w:p>
    <w:p w14:paraId="161707E0">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本合同到期后，如仍然存在甲乙双方未履行完毕的各项义务，则该义务继续履行；未行使完毕的各项权利，由权利方继续行使。</w:t>
      </w:r>
    </w:p>
    <w:p w14:paraId="33BCBDB1">
      <w:pPr>
        <w:keepNext w:val="0"/>
        <w:keepLines w:val="0"/>
        <w:pageBreakBefore w:val="0"/>
        <w:widowControl/>
        <w:kinsoku/>
        <w:wordWrap/>
        <w:overflowPunct/>
        <w:topLinePunct w:val="0"/>
        <w:autoSpaceDE/>
        <w:autoSpaceDN/>
        <w:bidi w:val="0"/>
        <w:adjustRightInd/>
        <w:snapToGrid/>
        <w:spacing w:line="360" w:lineRule="auto"/>
        <w:ind w:left="0" w:firstLine="482" w:firstLineChars="200"/>
        <w:jc w:val="left"/>
        <w:textAlignment w:val="auto"/>
        <w:outlineLvl w:val="9"/>
        <w:rPr>
          <w:rFonts w:hint="eastAsia" w:ascii="仿宋" w:hAnsi="仿宋" w:eastAsia="仿宋" w:cs="仿宋"/>
          <w:color w:val="auto"/>
          <w:sz w:val="24"/>
          <w:szCs w:val="24"/>
          <w:highlight w:val="none"/>
        </w:rPr>
      </w:pPr>
      <w:bookmarkStart w:id="12" w:name="_Toc17760"/>
      <w:bookmarkStart w:id="13" w:name="_Toc14374"/>
      <w:r>
        <w:rPr>
          <w:rFonts w:hint="eastAsia" w:ascii="仿宋" w:hAnsi="仿宋" w:eastAsia="仿宋" w:cs="仿宋"/>
          <w:b/>
          <w:color w:val="auto"/>
          <w:sz w:val="24"/>
          <w:szCs w:val="24"/>
          <w:highlight w:val="none"/>
        </w:rPr>
        <w:t>第五条：双方权利及义务</w:t>
      </w:r>
      <w:bookmarkEnd w:id="12"/>
      <w:bookmarkEnd w:id="13"/>
    </w:p>
    <w:p w14:paraId="716EC97F">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（一）甲方的权利和义务</w:t>
      </w:r>
    </w:p>
    <w:p w14:paraId="40B0B07F">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1、甲方保证提供给乙方的资料、信息内容合法，不侵犯第三方的合法权益。如因甲方原因致使乙方遭受第三方追诉的，甲方在其过错范围内承担由此给乙方造成的损失，并承担违约责任。</w:t>
      </w:r>
    </w:p>
    <w:p w14:paraId="504AA35E">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2、由于乙方原因不能按合同约定履约，甲方有权扣留剩余款项，作为对甲方损失的赔偿，剩余款项已付或不足以赔偿甲方损失的，由乙方另行支付。</w:t>
      </w:r>
    </w:p>
    <w:p w14:paraId="1C9FC3DE">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（二）乙方的权利和义务</w:t>
      </w:r>
    </w:p>
    <w:p w14:paraId="1D06FD16">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1、乙方保证在履行本合同过程中，不侵犯第三方的合法权益。如因乙方原因致使甲方遭受第三方追诉的，乙方应承担由此给甲方造成的全部损失，并承担违约责任。</w:t>
      </w:r>
    </w:p>
    <w:p w14:paraId="2E5E47C1">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2、乙方按照本合同约定，在履行的过程中，不允许利用甲方提供的工作条件和相关资料进行与本项目无关的工作。如因乙方原因致使甲方遭受经济及法律追诉的，由乙方完全承担。</w:t>
      </w:r>
    </w:p>
    <w:p w14:paraId="19571C09">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3、乙方必须对供货现场环境卫生、人员安全、生产安全、防火安全负全责。供货现场的各种活动须服从甲方相关部门的管理、监督，同时做好与其它人员的交叉作业及配合工作。</w:t>
      </w:r>
    </w:p>
    <w:p w14:paraId="7DBE588A">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4、乙方必须加强对供货现场的安全监督、管理，对进入现场的易燃材料应指定专人管理，必要时派人驻守。对当日产生的易燃废料堆放到甲方指定区域，当日应及时清理，消除安全隐患。</w:t>
      </w:r>
    </w:p>
    <w:p w14:paraId="13C435E1">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5、乙方供货人员要安全文明供货，不准赤脚或穿高跟鞋、拖鞋进入供货场地；不得穿硬底鞋及带钉易打滑的鞋。</w:t>
      </w:r>
    </w:p>
    <w:p w14:paraId="2D98DD86">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6、乙方供货人员要严防火灾，不准在禁止烟火的地方动用明火；要文明供货，不得在供货现场戏耍和打架斗殴。</w:t>
      </w:r>
    </w:p>
    <w:p w14:paraId="7A832C30">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由于乙方在供货过程中组织管理不当违反安全规程、消防安全条例发生安全或火灾事故所造成的安全责任事故、经济损失及人身伤亡，乙方承担全部责任，甲方概不负责。在供货中如发生事故造成甲方经济损失、人身损害，乙方承担全部责任。</w:t>
      </w:r>
    </w:p>
    <w:p w14:paraId="5860DEC3">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8、乙方货物需在甲方指定地点有序堆放，垃圾或货物外包装应24小时内清理外运，严禁随意乱堆乱放，影响院内大环境及道路畅通。</w:t>
      </w:r>
    </w:p>
    <w:p w14:paraId="6F010066">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乙方违反上述任意约定，均视为违约。甲方现场管理人员有权制止其行为并劝其离场，乙方应停止供货并整改（停止供货期间造成的损失由乙方自行承担）。每违反一次扣除合同最高执行总价的3%作为违约金，并承担由此造成的全部损失，累计超过3次的，视为乙方根本违约，甲方有权解除合同，合同自书面解除通知送达乙方之日解除，乙方应按照合同最高执行总价的30%承担违约金，若违约金不足以弥补甲方损失的，由乙方另行支付。</w:t>
      </w:r>
    </w:p>
    <w:p w14:paraId="237EBF0D">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第六条：质量保证</w:t>
      </w:r>
    </w:p>
    <w:p w14:paraId="11289F31">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（一）保证技术指标先进、质量性能可靠、进货渠道正常、功能齐全、配置合理，全面满足甲方要求。</w:t>
      </w:r>
    </w:p>
    <w:p w14:paraId="62222FD6">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（二）符合国家有关规范要求。</w:t>
      </w:r>
    </w:p>
    <w:p w14:paraId="42D7D8DE">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（三）具有良好的外观和使用性能，适合所需科室的使用。</w:t>
      </w:r>
    </w:p>
    <w:p w14:paraId="45A6BC1D">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（四）</w:t>
      </w:r>
      <w:r>
        <w:rPr>
          <w:rFonts w:hint="eastAsia" w:ascii="仿宋" w:hAnsi="仿宋" w:eastAsia="仿宋" w:cs="仿宋"/>
          <w:color w:val="auto"/>
          <w:sz w:val="24"/>
          <w:szCs w:val="24"/>
          <w:highlight w:val="none"/>
        </w:rPr>
        <w:t>乙方需派一名项目经理，直接与甲方沟通，项目经理接收甲方提出的问题与要求，并及时反馈给工作组，解决在项目实施过程中遇到的问题</w:t>
      </w:r>
    </w:p>
    <w:p w14:paraId="16B69669">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第七条：售后及技术服务</w:t>
      </w:r>
    </w:p>
    <w:p w14:paraId="3D39C642">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1、项目质保期：合同签订后2年。</w:t>
      </w:r>
    </w:p>
    <w:p w14:paraId="3D2D9510">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售后服务响应时间（质保期内）：即时响应（包括电话响应）；电话响应无法解决2小时内到达现场。修复时间2小时内解决；如在2小时内无法修复，则提供部件冗余服务或采取应急措施，提供相同产品或不低于故障产品规格档次的备用产品供采购人使用，以确保货物的正常使用。</w:t>
      </w:r>
    </w:p>
    <w:p w14:paraId="56B5D4FA">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第八条：保密规定</w:t>
      </w:r>
    </w:p>
    <w:p w14:paraId="1DC9AA1A">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乙双方应永久恪守因签署或履行本合同而获知的对方秘密信息及其它秘密资料，特别是国家安全秘密。任何一方如将获知的对方秘密信息泄露给第三方，应赔偿因泄密而给对方造成的一切损失并承担相应的法律责任（包括刑事责任）</w:t>
      </w:r>
    </w:p>
    <w:p w14:paraId="7EAC5E42">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第九条：其它事项</w:t>
      </w:r>
    </w:p>
    <w:p w14:paraId="55FDEDAE">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未按合同要求提供，质量不能满足技术要求的，甲方有权解除合同（合同自书面解除通知到达乙方之日起解除），乙方赔偿甲方解除合同的全部损失（包括但不限于重新采购产生的费用及其它由此造成的甲方对第三方的违约损失），乙方应按照合同最高执行总价的30%承担违约金。同时按《政府采购法》有关处罚条款报监管机构进行相应的处罚。</w:t>
      </w:r>
    </w:p>
    <w:p w14:paraId="7CCB76D4">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供货期内，每推迟或未提供货物1天，扣合同最高执行总价的3‰作为违约金。累计超过10天的，视为乙方根本违约，甲方有权单方解除合同（合同自书面解除通知送达乙方之日起解除），乙方应赔偿解除合同给甲方造成的全部损失（包括但不限于重新采购产生的费用、合同未履行导致项目不能按规划提供可能产生的其他费用），乙方应按照合同最高执行总价的30%承担违约金，若违约金不足以弥补甲方损失的，由乙方另行支付。</w:t>
      </w:r>
    </w:p>
    <w:p w14:paraId="0CF78303">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第十条：违约责任</w:t>
      </w:r>
    </w:p>
    <w:p w14:paraId="532E55A9">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依据《中华人民共和国民法典》、《中华人民共和国政府采购法》、《中华人民 共和国政府采购法实施条例》的相关条款和本合同约定，成交供应商未全面履行合同义务或者发生违约，采购单位会同采购代理机构有权终止合同，依法向成交供应商进行经济索赔，并报请政府采 购监督管理机关进行相应的行政处罚。采购单位违约的，应当赔偿给成交供应商造成的经济损失。</w:t>
      </w:r>
    </w:p>
    <w:p w14:paraId="1AE86B02">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第十一条：合同争议解决的方式</w:t>
      </w:r>
    </w:p>
    <w:p w14:paraId="77C4C946">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本合同在履行过程中发生的争议，由甲、乙双方当事人协商解决，协商不成的按下列第</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种方式解决：</w:t>
      </w:r>
    </w:p>
    <w:p w14:paraId="4AF09DE4">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提交</w:t>
      </w:r>
      <w:r>
        <w:rPr>
          <w:rFonts w:hint="eastAsia" w:ascii="仿宋" w:hAnsi="仿宋" w:eastAsia="仿宋" w:cs="仿宋"/>
          <w:color w:val="auto"/>
          <w:sz w:val="24"/>
          <w:szCs w:val="24"/>
          <w:highlight w:val="none"/>
          <w:lang w:val="en-US" w:eastAsia="zh-CN"/>
        </w:rPr>
        <w:t>西安市</w:t>
      </w:r>
      <w:r>
        <w:rPr>
          <w:rFonts w:hint="eastAsia" w:ascii="仿宋" w:hAnsi="仿宋" w:eastAsia="仿宋" w:cs="仿宋"/>
          <w:color w:val="auto"/>
          <w:sz w:val="24"/>
          <w:szCs w:val="24"/>
          <w:highlight w:val="none"/>
        </w:rPr>
        <w:t>仲裁委员会仲裁；</w:t>
      </w:r>
    </w:p>
    <w:p w14:paraId="44E3DD20">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依法向甲方所在地人民法院起诉。</w:t>
      </w:r>
    </w:p>
    <w:p w14:paraId="4F2FF1D7">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第十二条：合同生效</w:t>
      </w:r>
    </w:p>
    <w:p w14:paraId="5C58A607">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本合同须经甲、乙双方的法定代表人（授权代表）在合同书上签字并加盖本单位公章后正式生效。</w:t>
      </w:r>
    </w:p>
    <w:p w14:paraId="4012FBC0">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合同生效后，甲、乙双方须严格执行本合同条款的规定，全面履行合同，违者按《中华人民共和国</w:t>
      </w:r>
      <w:r>
        <w:rPr>
          <w:rFonts w:hint="eastAsia" w:ascii="仿宋" w:hAnsi="仿宋" w:eastAsia="仿宋" w:cs="仿宋"/>
          <w:color w:val="auto"/>
          <w:sz w:val="24"/>
          <w:szCs w:val="24"/>
          <w:highlight w:val="none"/>
          <w:lang w:eastAsia="zh-CN"/>
        </w:rPr>
        <w:t>民法典</w:t>
      </w:r>
      <w:r>
        <w:rPr>
          <w:rFonts w:hint="eastAsia" w:ascii="仿宋" w:hAnsi="仿宋" w:eastAsia="仿宋" w:cs="仿宋"/>
          <w:color w:val="auto"/>
          <w:sz w:val="24"/>
          <w:szCs w:val="24"/>
          <w:highlight w:val="none"/>
        </w:rPr>
        <w:t>》的有关规定承担相应责任。</w:t>
      </w:r>
    </w:p>
    <w:p w14:paraId="6E74EE68">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本合同一式</w:t>
      </w:r>
      <w:r>
        <w:rPr>
          <w:rFonts w:hint="eastAsia" w:ascii="仿宋" w:hAnsi="仿宋" w:eastAsia="仿宋" w:cs="仿宋"/>
          <w:color w:val="auto"/>
          <w:sz w:val="24"/>
          <w:szCs w:val="24"/>
          <w:highlight w:val="none"/>
          <w:u w:val="single"/>
          <w:lang w:val="en-US" w:eastAsia="zh-CN"/>
        </w:rPr>
        <w:t xml:space="preserve"> 伍 </w:t>
      </w:r>
      <w:r>
        <w:rPr>
          <w:rFonts w:hint="eastAsia" w:ascii="仿宋" w:hAnsi="仿宋" w:eastAsia="仿宋" w:cs="仿宋"/>
          <w:color w:val="auto"/>
          <w:sz w:val="24"/>
          <w:szCs w:val="24"/>
          <w:highlight w:val="none"/>
        </w:rPr>
        <w:t>份，甲乙双方各执</w:t>
      </w:r>
      <w:r>
        <w:rPr>
          <w:rFonts w:hint="eastAsia" w:ascii="仿宋" w:hAnsi="仿宋" w:eastAsia="仿宋" w:cs="仿宋"/>
          <w:color w:val="auto"/>
          <w:sz w:val="24"/>
          <w:szCs w:val="24"/>
          <w:highlight w:val="none"/>
          <w:u w:val="single"/>
          <w:lang w:val="en-US" w:eastAsia="zh-CN"/>
        </w:rPr>
        <w:t xml:space="preserve"> 贰 </w:t>
      </w:r>
      <w:r>
        <w:rPr>
          <w:rFonts w:hint="eastAsia" w:ascii="仿宋" w:hAnsi="仿宋" w:eastAsia="仿宋" w:cs="仿宋"/>
          <w:color w:val="auto"/>
          <w:sz w:val="24"/>
          <w:szCs w:val="24"/>
          <w:highlight w:val="none"/>
        </w:rPr>
        <w:t>份</w:t>
      </w:r>
      <w:r>
        <w:rPr>
          <w:rFonts w:hint="eastAsia" w:ascii="仿宋" w:hAnsi="仿宋" w:eastAsia="仿宋" w:cs="仿宋"/>
          <w:color w:val="auto"/>
          <w:sz w:val="24"/>
          <w:szCs w:val="24"/>
          <w:highlight w:val="none"/>
          <w:lang w:eastAsia="zh-CN"/>
        </w:rPr>
        <w:t>，采购代理机构存档</w:t>
      </w:r>
      <w:r>
        <w:rPr>
          <w:rFonts w:hint="eastAsia" w:ascii="仿宋" w:hAnsi="仿宋" w:eastAsia="仿宋" w:cs="仿宋"/>
          <w:color w:val="auto"/>
          <w:sz w:val="24"/>
          <w:szCs w:val="24"/>
          <w:highlight w:val="none"/>
          <w:u w:val="single"/>
          <w:lang w:eastAsia="zh-CN"/>
        </w:rPr>
        <w:t xml:space="preserve"> 壹 </w:t>
      </w:r>
      <w:r>
        <w:rPr>
          <w:rFonts w:hint="eastAsia" w:ascii="仿宋" w:hAnsi="仿宋" w:eastAsia="仿宋" w:cs="仿宋"/>
          <w:color w:val="auto"/>
          <w:sz w:val="24"/>
          <w:szCs w:val="24"/>
          <w:highlight w:val="none"/>
          <w:lang w:eastAsia="zh-CN"/>
        </w:rPr>
        <w:t>份</w:t>
      </w:r>
      <w:r>
        <w:rPr>
          <w:rFonts w:hint="eastAsia" w:ascii="仿宋" w:hAnsi="仿宋" w:eastAsia="仿宋" w:cs="仿宋"/>
          <w:color w:val="auto"/>
          <w:sz w:val="24"/>
          <w:szCs w:val="24"/>
          <w:highlight w:val="none"/>
        </w:rPr>
        <w:t>。</w:t>
      </w:r>
    </w:p>
    <w:p w14:paraId="10B03A40">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本合同如有未尽事宜，甲、乙双方协商解决。</w:t>
      </w:r>
    </w:p>
    <w:p w14:paraId="3F5BDBD0">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（本页</w:t>
      </w:r>
      <w:r>
        <w:rPr>
          <w:rFonts w:hint="eastAsia" w:ascii="仿宋" w:hAnsi="仿宋" w:eastAsia="仿宋" w:cs="仿宋"/>
          <w:color w:val="auto"/>
          <w:sz w:val="24"/>
          <w:szCs w:val="24"/>
          <w:highlight w:val="none"/>
          <w:lang w:val="en-US" w:eastAsia="zh-CN"/>
        </w:rPr>
        <w:t>以下</w:t>
      </w:r>
      <w:r>
        <w:rPr>
          <w:rFonts w:hint="eastAsia" w:ascii="仿宋" w:hAnsi="仿宋" w:eastAsia="仿宋" w:cs="仿宋"/>
          <w:color w:val="auto"/>
          <w:sz w:val="24"/>
          <w:szCs w:val="24"/>
          <w:highlight w:val="none"/>
        </w:rPr>
        <w:t>无正文）</w:t>
      </w:r>
    </w:p>
    <w:p w14:paraId="2C596F2C">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14:paraId="231071D0">
      <w:pPr>
        <w:pStyle w:val="2"/>
        <w:rPr>
          <w:rFonts w:hint="eastAsia"/>
          <w:color w:val="auto"/>
        </w:rPr>
      </w:pPr>
    </w:p>
    <w:p w14:paraId="33290F65">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甲方（委托方）：</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eastAsia="zh-CN"/>
        </w:rPr>
        <w:t>受托</w:t>
      </w:r>
      <w:r>
        <w:rPr>
          <w:rFonts w:hint="eastAsia" w:ascii="仿宋" w:hAnsi="仿宋" w:eastAsia="仿宋" w:cs="仿宋"/>
          <w:color w:val="auto"/>
          <w:sz w:val="24"/>
          <w:szCs w:val="24"/>
          <w:highlight w:val="none"/>
        </w:rPr>
        <w:t>方）：</w:t>
      </w:r>
      <w:r>
        <w:rPr>
          <w:rFonts w:hint="eastAsia" w:ascii="仿宋" w:hAnsi="仿宋" w:eastAsia="仿宋" w:cs="仿宋"/>
          <w:color w:val="auto"/>
          <w:sz w:val="24"/>
          <w:szCs w:val="24"/>
          <w:highlight w:val="none"/>
          <w:u w:val="single"/>
        </w:rPr>
        <w:t xml:space="preserve">                      </w:t>
      </w:r>
    </w:p>
    <w:p w14:paraId="1B08A460">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                           （盖章）</w:t>
      </w:r>
    </w:p>
    <w:p w14:paraId="7993DE65">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代表人（签字）：</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代表人（签字）：</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p>
    <w:p w14:paraId="6C5B67CC">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法定代表人（盖章）：</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法定代表人（盖章）：</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p>
    <w:p w14:paraId="1E91D8DB">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地    址：</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 xml:space="preserve"> </w:t>
      </w:r>
    </w:p>
    <w:p w14:paraId="3CAF7B7D">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邮政编码：</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邮政编码：</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p>
    <w:p w14:paraId="4196B7FC">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电    话：</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p>
    <w:p w14:paraId="6B86C203">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传    真：</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p>
    <w:p w14:paraId="71BA460E">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开户银行：</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 xml:space="preserve"> </w:t>
      </w:r>
    </w:p>
    <w:p w14:paraId="1E760485">
      <w:pPr>
        <w:ind w:left="0" w:leftChars="0" w:firstLine="0" w:firstLineChars="0"/>
        <w:rPr>
          <w:rFonts w:ascii="宋体" w:hAnsi="宋体" w:eastAsia="宋体" w:cs="宋体"/>
        </w:rPr>
      </w:pPr>
      <w:r>
        <w:rPr>
          <w:rFonts w:hint="eastAsia" w:ascii="仿宋" w:hAnsi="仿宋" w:eastAsia="仿宋" w:cs="仿宋"/>
          <w:color w:val="auto"/>
          <w:sz w:val="24"/>
          <w:szCs w:val="24"/>
          <w:highlight w:val="none"/>
        </w:rPr>
        <w:t>银行帐号：</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银行帐号：</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bookmarkStart w:id="14" w:name="_GoBack"/>
      <w:bookmarkEnd w:id="14"/>
    </w:p>
    <w:sectPr>
      <w:headerReference r:id="rId7" w:type="first"/>
      <w:footerReference r:id="rId10" w:type="first"/>
      <w:headerReference r:id="rId5" w:type="default"/>
      <w:footerReference r:id="rId8" w:type="default"/>
      <w:headerReference r:id="rId6" w:type="even"/>
      <w:footerReference r:id="rId9" w:type="even"/>
      <w:pgSz w:w="11906" w:h="16838"/>
      <w:pgMar w:top="1417" w:right="1417" w:bottom="1417" w:left="1417" w:header="992"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CF4FEC">
    <w:pPr>
      <w:pStyle w:val="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EC0D2D">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5D4A9B">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AD2177">
    <w:pPr>
      <w:pStyle w:val="3"/>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B43295">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A90C56">
    <w:pPr>
      <w:pStyle w:val="3"/>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2A88BD"/>
    <w:multiLevelType w:val="multilevel"/>
    <w:tmpl w:val="3D2A88BD"/>
    <w:lvl w:ilvl="0" w:tentative="0">
      <w:start w:val="1"/>
      <w:numFmt w:val="chineseCounting"/>
      <w:pStyle w:val="4"/>
      <w:suff w:val="nothing"/>
      <w:lvlText w:val="第%1章 "/>
      <w:lvlJc w:val="left"/>
      <w:pPr>
        <w:ind w:left="0" w:firstLine="402"/>
      </w:pPr>
      <w:rPr>
        <w:rFonts w:hint="eastAsia"/>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jNjA3YjNkZTkyNDk4OTI5YWU2YmU2MzVkMmI4MTAifQ=="/>
  </w:docVars>
  <w:rsids>
    <w:rsidRoot w:val="71E2049A"/>
    <w:rsid w:val="000A7890"/>
    <w:rsid w:val="000D6D1A"/>
    <w:rsid w:val="001518C8"/>
    <w:rsid w:val="00417462"/>
    <w:rsid w:val="00442314"/>
    <w:rsid w:val="007066A9"/>
    <w:rsid w:val="008156D0"/>
    <w:rsid w:val="00A43422"/>
    <w:rsid w:val="00AE67FF"/>
    <w:rsid w:val="00C60D32"/>
    <w:rsid w:val="00D31868"/>
    <w:rsid w:val="00DC73E1"/>
    <w:rsid w:val="00DD7B65"/>
    <w:rsid w:val="00FF311F"/>
    <w:rsid w:val="02164BF4"/>
    <w:rsid w:val="04BD38C2"/>
    <w:rsid w:val="21BA24F8"/>
    <w:rsid w:val="495D13D8"/>
    <w:rsid w:val="509E5922"/>
    <w:rsid w:val="5DF83912"/>
    <w:rsid w:val="71E204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883" w:firstLineChars="200"/>
      <w:jc w:val="both"/>
    </w:pPr>
    <w:rPr>
      <w:rFonts w:eastAsia="楷体" w:asciiTheme="minorHAnsi" w:hAnsiTheme="minorHAnsi" w:cstheme="minorBidi"/>
      <w:kern w:val="2"/>
      <w:sz w:val="24"/>
      <w:szCs w:val="24"/>
      <w:lang w:val="en-US" w:eastAsia="zh-CN" w:bidi="ar-SA"/>
    </w:rPr>
  </w:style>
  <w:style w:type="paragraph" w:styleId="4">
    <w:name w:val="heading 1"/>
    <w:basedOn w:val="1"/>
    <w:next w:val="1"/>
    <w:qFormat/>
    <w:uiPriority w:val="0"/>
    <w:pPr>
      <w:keepNext/>
      <w:keepLines/>
      <w:numPr>
        <w:ilvl w:val="0"/>
        <w:numId w:val="1"/>
      </w:numPr>
      <w:spacing w:before="340" w:after="330" w:line="576" w:lineRule="auto"/>
      <w:ind w:firstLine="0" w:firstLineChars="0"/>
      <w:jc w:val="center"/>
      <w:outlineLvl w:val="0"/>
    </w:pPr>
    <w:rPr>
      <w:b/>
      <w:kern w:val="44"/>
      <w:sz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3"/>
    <w:unhideWhenUsed/>
    <w:qFormat/>
    <w:uiPriority w:val="99"/>
    <w:pPr>
      <w:spacing w:line="300" w:lineRule="auto"/>
      <w:ind w:firstLine="420" w:firstLineChars="200"/>
    </w:pPr>
    <w:rPr>
      <w:rFonts w:ascii="Times New Roman"/>
      <w:kern w:val="2"/>
      <w:sz w:val="21"/>
      <w:szCs w:val="24"/>
    </w:rPr>
  </w:style>
  <w:style w:type="paragraph" w:styleId="3">
    <w:name w:val="header"/>
    <w:basedOn w:val="1"/>
    <w:link w:val="10"/>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5">
    <w:name w:val="Body Text"/>
    <w:basedOn w:val="1"/>
    <w:next w:val="1"/>
    <w:autoRedefine/>
    <w:qFormat/>
    <w:uiPriority w:val="99"/>
    <w:pPr>
      <w:jc w:val="left"/>
    </w:pPr>
    <w:rPr>
      <w:rFonts w:ascii="Copperplate Gothic Bold" w:hAnsi="Copperplate Gothic Bold"/>
      <w:sz w:val="28"/>
    </w:rPr>
  </w:style>
  <w:style w:type="paragraph" w:styleId="6">
    <w:name w:val="footer"/>
    <w:basedOn w:val="1"/>
    <w:link w:val="11"/>
    <w:qFormat/>
    <w:uiPriority w:val="0"/>
    <w:pPr>
      <w:tabs>
        <w:tab w:val="center" w:pos="4153"/>
        <w:tab w:val="right" w:pos="8306"/>
      </w:tabs>
      <w:snapToGrid w:val="0"/>
      <w:spacing w:line="240" w:lineRule="auto"/>
      <w:jc w:val="left"/>
    </w:pPr>
    <w:rPr>
      <w:sz w:val="18"/>
      <w:szCs w:val="18"/>
    </w:rPr>
  </w:style>
  <w:style w:type="paragraph" w:styleId="7">
    <w:name w:val="Body Text First Indent"/>
    <w:basedOn w:val="5"/>
    <w:unhideWhenUsed/>
    <w:qFormat/>
    <w:uiPriority w:val="99"/>
    <w:pPr>
      <w:spacing w:after="120" w:line="240" w:lineRule="auto"/>
      <w:ind w:firstLine="420" w:firstLineChars="100"/>
    </w:pPr>
    <w:rPr>
      <w:rFonts w:ascii="Times New Roman" w:hAnsi="Times New Roman"/>
      <w:sz w:val="18"/>
      <w:szCs w:val="18"/>
    </w:rPr>
  </w:style>
  <w:style w:type="character" w:customStyle="1" w:styleId="10">
    <w:name w:val="页眉 Char"/>
    <w:basedOn w:val="9"/>
    <w:link w:val="3"/>
    <w:qFormat/>
    <w:uiPriority w:val="0"/>
    <w:rPr>
      <w:rFonts w:eastAsia="楷体"/>
      <w:kern w:val="2"/>
      <w:sz w:val="18"/>
      <w:szCs w:val="18"/>
    </w:rPr>
  </w:style>
  <w:style w:type="character" w:customStyle="1" w:styleId="11">
    <w:name w:val="页脚 Char"/>
    <w:basedOn w:val="9"/>
    <w:link w:val="6"/>
    <w:qFormat/>
    <w:uiPriority w:val="0"/>
    <w:rPr>
      <w:rFonts w:eastAsia="楷体"/>
      <w:kern w:val="2"/>
      <w:sz w:val="18"/>
      <w:szCs w:val="18"/>
    </w:rPr>
  </w:style>
  <w:style w:type="paragraph" w:customStyle="1" w:styleId="12">
    <w:name w:val="List Paragraph1"/>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Organization</Company>
  <Pages>6</Pages>
  <Words>2939</Words>
  <Characters>2988</Characters>
  <Lines>49</Lines>
  <Paragraphs>13</Paragraphs>
  <TotalTime>0</TotalTime>
  <ScaleCrop>false</ScaleCrop>
  <LinksUpToDate>false</LinksUpToDate>
  <CharactersWithSpaces>3257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2023-08-01T05:53:00Z</dcterms:created>
  <dc:creator>囔囔</dc:creator>
  <cp:lastModifiedBy>1</cp:lastModifiedBy>
  <dcterms:modified xsi:type="dcterms:W3CDTF">2025-06-26T05:43:23Z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4DEDC21298F941F295D54533EECC6C3B_11</vt:lpwstr>
  </property>
  <property fmtid="{D5CDD505-2E9C-101B-9397-08002B2CF9AE}" pid="4" name="KSOTemplateDocerSaveRecord">
    <vt:lpwstr>eyJoZGlkIjoiYWRjNjA3YjNkZTkyNDk4OTI5YWU2YmU2MzVkMmI4MTAiLCJ1c2VySWQiOiI0ODU3MDc4MjgifQ==</vt:lpwstr>
  </property>
</Properties>
</file>