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7"/>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013CAA9C">
      <w:pPr>
        <w:keepNext w:val="0"/>
        <w:keepLines w:val="0"/>
        <w:pageBreakBefore w:val="0"/>
        <w:widowControl w:val="0"/>
        <w:kinsoku/>
        <w:wordWrap/>
        <w:overflowPunct/>
        <w:topLinePunct w:val="0"/>
        <w:autoSpaceDE/>
        <w:autoSpaceDN/>
        <w:bidi w:val="0"/>
        <w:adjustRightInd/>
        <w:snapToGrid/>
        <w:spacing w:line="460" w:lineRule="exact"/>
        <w:ind w:right="0" w:rightChars="0"/>
        <w:jc w:val="both"/>
        <w:textAlignment w:val="auto"/>
        <w:outlineLvl w:val="9"/>
        <w:rPr>
          <w:rFonts w:hint="eastAsia" w:ascii="仿宋" w:hAnsi="仿宋" w:eastAsia="仿宋" w:cs="仿宋"/>
          <w:b/>
          <w:bCs/>
          <w:sz w:val="24"/>
          <w:szCs w:val="24"/>
          <w:highlight w:val="none"/>
        </w:rPr>
      </w:pPr>
      <w:bookmarkStart w:id="0" w:name="_Toc1889"/>
      <w:r>
        <w:rPr>
          <w:rFonts w:hint="eastAsia" w:ascii="仿宋" w:hAnsi="仿宋" w:eastAsia="仿宋" w:cs="仿宋"/>
          <w:b/>
          <w:bCs/>
          <w:sz w:val="24"/>
          <w:szCs w:val="24"/>
          <w:highlight w:val="none"/>
          <w:lang w:val="en-US" w:eastAsia="zh-CN"/>
        </w:rPr>
        <w:t>（一）基本资格条件：符合《中华人民共和国政府采购法》第二十二条的规定，并提供以下资料：</w:t>
      </w:r>
      <w:bookmarkEnd w:id="0"/>
    </w:p>
    <w:p w14:paraId="1984F43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14:paraId="56B7F13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4B4CA1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p w14:paraId="4A03292E">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（二）落实政府采购政策需满足的资格要求：/</w:t>
      </w:r>
    </w:p>
    <w:p w14:paraId="0C34B081">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（三）特定资格条件：</w:t>
      </w:r>
    </w:p>
    <w:p w14:paraId="302F5620">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1、法定代表人授权书（附法定代表人、被授权人身份证复印件；法定代表人直接参加谈判，须提供法定代表人身份证明)（注：被授权人需提供谈判截止日前一年内已缴存的至少一个月的社会保障资金凭证）；</w:t>
      </w:r>
    </w:p>
    <w:p w14:paraId="6013D95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eastAsia" w:eastAsia="宋体"/>
          <w:lang w:val="en-US" w:eastAsia="zh-CN"/>
        </w:rPr>
      </w:pPr>
      <w:r>
        <w:rPr>
          <w:rFonts w:hint="eastAsia" w:ascii="仿宋" w:hAnsi="仿宋" w:eastAsia="仿宋" w:cs="仿宋"/>
          <w:b w:val="0"/>
          <w:bCs w:val="0"/>
          <w:sz w:val="24"/>
          <w:szCs w:val="24"/>
          <w:highlight w:val="none"/>
          <w:lang w:val="en-US" w:eastAsia="zh-CN"/>
        </w:rPr>
        <w:t>2、供应商具有合格有效的《出版物经营许可证》</w:t>
      </w:r>
      <w:bookmarkStart w:id="3" w:name="_GoBack"/>
      <w:bookmarkEnd w:id="3"/>
    </w:p>
    <w:p w14:paraId="5B16280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2"/>
        <w:rPr>
          <w:rFonts w:hint="eastAsia" w:ascii="仿宋" w:hAnsi="仿宋" w:eastAsia="仿宋" w:cs="仿宋"/>
          <w:b/>
          <w:bCs/>
          <w:kern w:val="2"/>
          <w:sz w:val="30"/>
          <w:szCs w:val="30"/>
          <w:highlight w:val="none"/>
          <w:lang w:val="en-US" w:eastAsia="zh-CN" w:bidi="ar-SA"/>
        </w:rPr>
      </w:pPr>
      <w:r>
        <w:rPr>
          <w:rFonts w:hint="eastAsia" w:ascii="仿宋" w:hAnsi="仿宋" w:eastAsia="仿宋" w:cs="仿宋"/>
          <w:b/>
          <w:sz w:val="32"/>
        </w:rPr>
        <w:br w:type="page"/>
      </w:r>
      <w:bookmarkStart w:id="1" w:name="_Toc13032"/>
      <w:r>
        <w:rPr>
          <w:rFonts w:hint="eastAsia" w:ascii="仿宋" w:hAnsi="仿宋" w:eastAsia="仿宋" w:cs="仿宋"/>
          <w:b/>
          <w:bCs/>
          <w:kern w:val="2"/>
          <w:sz w:val="30"/>
          <w:szCs w:val="30"/>
          <w:highlight w:val="none"/>
          <w:lang w:val="en-US" w:eastAsia="zh-CN" w:bidi="ar-SA"/>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09F2850C">
      <w:pPr>
        <w:spacing w:line="440" w:lineRule="exact"/>
        <w:ind w:left="-359" w:leftChars="-171" w:firstLine="643" w:firstLineChars="200"/>
        <w:jc w:val="center"/>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59E2445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0B3B70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6363246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5399EDB">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3F5E8E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4233277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28BA71A4">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14D6386C">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0B733A79">
            <w:pPr>
              <w:snapToGrid w:val="0"/>
              <w:spacing w:line="480" w:lineRule="auto"/>
              <w:jc w:val="center"/>
              <w:rPr>
                <w:rFonts w:hint="eastAsia" w:ascii="仿宋" w:hAnsi="仿宋" w:eastAsia="仿宋" w:cs="仿宋"/>
                <w:szCs w:val="21"/>
                <w:highlight w:val="none"/>
              </w:rPr>
            </w:pPr>
          </w:p>
          <w:p w14:paraId="0970ED4D">
            <w:pPr>
              <w:snapToGrid w:val="0"/>
              <w:spacing w:line="480" w:lineRule="auto"/>
              <w:jc w:val="center"/>
              <w:rPr>
                <w:rFonts w:hint="eastAsia" w:ascii="仿宋" w:hAnsi="仿宋" w:eastAsia="仿宋" w:cs="仿宋"/>
                <w:szCs w:val="21"/>
                <w:highlight w:val="none"/>
              </w:rPr>
            </w:pPr>
          </w:p>
          <w:p w14:paraId="1B507EF8">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555FD5B5">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lang w:val="en-US" w:eastAsia="zh-CN"/>
              </w:rPr>
            </w:pPr>
            <w:r>
              <w:rPr>
                <w:rFonts w:hint="eastAsia" w:ascii="仿宋" w:hAnsi="仿宋" w:eastAsia="仿宋" w:cs="仿宋"/>
                <w:szCs w:val="21"/>
                <w:highlight w:val="none"/>
                <w:lang w:val="en-US" w:eastAsia="zh-CN"/>
              </w:rPr>
              <w:t>(正反面）</w:t>
            </w:r>
          </w:p>
          <w:p w14:paraId="259FE1A1">
            <w:pPr>
              <w:snapToGrid w:val="0"/>
              <w:spacing w:line="480" w:lineRule="auto"/>
              <w:jc w:val="center"/>
              <w:rPr>
                <w:rFonts w:hint="eastAsia" w:ascii="仿宋" w:hAnsi="仿宋" w:eastAsia="仿宋" w:cs="仿宋"/>
                <w:szCs w:val="21"/>
                <w:highlight w:val="none"/>
              </w:rPr>
            </w:pPr>
          </w:p>
          <w:p w14:paraId="5EC20558">
            <w:pPr>
              <w:snapToGrid w:val="0"/>
              <w:spacing w:line="480" w:lineRule="auto"/>
              <w:jc w:val="center"/>
              <w:rPr>
                <w:rFonts w:hint="eastAsia" w:ascii="仿宋" w:hAnsi="仿宋" w:eastAsia="仿宋" w:cs="仿宋"/>
                <w:szCs w:val="21"/>
                <w:highlight w:val="none"/>
              </w:rPr>
            </w:pPr>
          </w:p>
        </w:tc>
      </w:tr>
    </w:tbl>
    <w:p w14:paraId="3B9F9F00">
      <w:pPr>
        <w:snapToGrid w:val="0"/>
        <w:spacing w:line="480" w:lineRule="auto"/>
        <w:rPr>
          <w:rFonts w:hint="eastAsia" w:ascii="仿宋" w:hAnsi="仿宋" w:eastAsia="仿宋" w:cs="仿宋"/>
          <w:szCs w:val="21"/>
          <w:highlight w:val="none"/>
        </w:rPr>
      </w:pPr>
    </w:p>
    <w:p w14:paraId="7C1D3860">
      <w:pPr>
        <w:snapToGrid w:val="0"/>
        <w:rPr>
          <w:rFonts w:hint="eastAsia" w:ascii="仿宋" w:hAnsi="仿宋" w:eastAsia="仿宋" w:cs="仿宋"/>
          <w:szCs w:val="21"/>
          <w:highlight w:val="none"/>
        </w:rPr>
      </w:pPr>
    </w:p>
    <w:p w14:paraId="2E2F27BD">
      <w:pPr>
        <w:snapToGrid w:val="0"/>
        <w:rPr>
          <w:rFonts w:hint="eastAsia" w:ascii="仿宋" w:hAnsi="仿宋" w:eastAsia="仿宋" w:cs="仿宋"/>
          <w:szCs w:val="21"/>
          <w:highlight w:val="none"/>
        </w:rPr>
      </w:pPr>
    </w:p>
    <w:p w14:paraId="68F4B7BC">
      <w:pPr>
        <w:snapToGrid w:val="0"/>
        <w:rPr>
          <w:rFonts w:hint="eastAsia" w:ascii="仿宋" w:hAnsi="仿宋" w:eastAsia="仿宋" w:cs="仿宋"/>
          <w:szCs w:val="21"/>
          <w:highlight w:val="none"/>
        </w:rPr>
      </w:pPr>
    </w:p>
    <w:p w14:paraId="04FCCAB9">
      <w:pPr>
        <w:snapToGrid w:val="0"/>
        <w:rPr>
          <w:rFonts w:hint="eastAsia" w:ascii="仿宋" w:hAnsi="仿宋" w:eastAsia="仿宋" w:cs="仿宋"/>
          <w:szCs w:val="21"/>
          <w:highlight w:val="none"/>
        </w:rPr>
      </w:pPr>
    </w:p>
    <w:p w14:paraId="10E4D755">
      <w:pPr>
        <w:adjustRightInd w:val="0"/>
        <w:snapToGrid w:val="0"/>
        <w:spacing w:line="360" w:lineRule="auto"/>
        <w:rPr>
          <w:rFonts w:hint="eastAsia" w:ascii="仿宋" w:hAnsi="仿宋" w:eastAsia="仿宋" w:cs="仿宋"/>
          <w:sz w:val="24"/>
          <w:highlight w:val="none"/>
        </w:rPr>
      </w:pPr>
    </w:p>
    <w:p w14:paraId="62865743">
      <w:pPr>
        <w:adjustRightInd w:val="0"/>
        <w:snapToGrid w:val="0"/>
        <w:spacing w:line="360" w:lineRule="auto"/>
        <w:ind w:right="420"/>
        <w:rPr>
          <w:rFonts w:hint="eastAsia" w:ascii="仿宋" w:hAnsi="仿宋" w:eastAsia="仿宋" w:cs="仿宋"/>
          <w:sz w:val="24"/>
          <w:highlight w:val="none"/>
        </w:rPr>
      </w:pPr>
    </w:p>
    <w:p w14:paraId="0248FC23">
      <w:pPr>
        <w:adjustRightInd w:val="0"/>
        <w:snapToGrid w:val="0"/>
        <w:spacing w:line="360" w:lineRule="auto"/>
        <w:ind w:right="420"/>
        <w:rPr>
          <w:rFonts w:hint="eastAsia" w:ascii="仿宋" w:hAnsi="仿宋" w:eastAsia="仿宋" w:cs="仿宋"/>
          <w:sz w:val="24"/>
          <w:highlight w:val="none"/>
        </w:rPr>
      </w:pPr>
    </w:p>
    <w:p w14:paraId="4D523A93">
      <w:pPr>
        <w:adjustRightInd w:val="0"/>
        <w:snapToGrid w:val="0"/>
        <w:spacing w:line="360" w:lineRule="auto"/>
        <w:ind w:right="420"/>
        <w:rPr>
          <w:rFonts w:hint="eastAsia" w:ascii="仿宋" w:hAnsi="仿宋" w:eastAsia="仿宋" w:cs="仿宋"/>
          <w:sz w:val="24"/>
          <w:highlight w:val="none"/>
        </w:rPr>
      </w:pPr>
    </w:p>
    <w:p w14:paraId="324D5A1F">
      <w:pPr>
        <w:adjustRightInd w:val="0"/>
        <w:snapToGrid w:val="0"/>
        <w:spacing w:line="360" w:lineRule="auto"/>
        <w:ind w:right="420"/>
        <w:rPr>
          <w:rFonts w:hint="eastAsia" w:ascii="仿宋" w:hAnsi="仿宋" w:eastAsia="仿宋" w:cs="仿宋"/>
          <w:sz w:val="24"/>
          <w:highlight w:val="none"/>
        </w:rPr>
      </w:pPr>
    </w:p>
    <w:p w14:paraId="7BB7C5AE">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38C982DB">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14:paraId="5EADAD84">
      <w:pPr>
        <w:pStyle w:val="6"/>
        <w:rPr>
          <w:rFonts w:hint="eastAsia" w:ascii="仿宋" w:hAnsi="仿宋" w:eastAsia="仿宋" w:cs="仿宋"/>
          <w:highlight w:val="none"/>
        </w:rPr>
      </w:pPr>
    </w:p>
    <w:p w14:paraId="137A43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0F8ADF94">
      <w:pPr>
        <w:pStyle w:val="6"/>
        <w:rPr>
          <w:rFonts w:hint="eastAsia" w:ascii="仿宋" w:hAnsi="仿宋" w:eastAsia="仿宋" w:cs="仿宋"/>
          <w:b/>
          <w:bCs/>
          <w:sz w:val="24"/>
          <w:szCs w:val="24"/>
          <w:highlight w:val="none"/>
          <w:lang w:val="en-US" w:eastAsia="zh-CN"/>
        </w:rPr>
      </w:pPr>
    </w:p>
    <w:p w14:paraId="5F422481">
      <w:pPr>
        <w:pStyle w:val="6"/>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0D21073">
      <w:pPr>
        <w:pStyle w:val="6"/>
        <w:rPr>
          <w:rFonts w:hint="eastAsia" w:ascii="仿宋" w:hAnsi="仿宋" w:eastAsia="仿宋" w:cs="仿宋"/>
          <w:b/>
          <w:bCs/>
          <w:sz w:val="24"/>
          <w:szCs w:val="24"/>
          <w:highlight w:val="none"/>
          <w:lang w:val="en-US" w:eastAsia="zh-CN"/>
        </w:rPr>
      </w:pPr>
    </w:p>
    <w:p w14:paraId="3E5B397C">
      <w:pPr>
        <w:pStyle w:val="5"/>
        <w:spacing w:before="327" w:beforeLines="100"/>
        <w:jc w:val="center"/>
        <w:rPr>
          <w:rFonts w:hint="eastAsia" w:ascii="仿宋" w:hAnsi="仿宋" w:eastAsia="仿宋" w:cs="仿宋"/>
          <w:spacing w:val="4"/>
          <w:sz w:val="24"/>
          <w:szCs w:val="30"/>
        </w:rPr>
      </w:pPr>
      <w:bookmarkStart w:id="2" w:name="_Toc27218"/>
      <w:r>
        <w:rPr>
          <w:rFonts w:hint="eastAsia" w:ascii="仿宋" w:hAnsi="仿宋" w:eastAsia="仿宋" w:cs="仿宋"/>
          <w:sz w:val="32"/>
          <w:szCs w:val="32"/>
          <w:highlight w:val="none"/>
        </w:rPr>
        <w:t>法定代表人授权书</w:t>
      </w:r>
      <w:bookmarkEnd w:id="2"/>
    </w:p>
    <w:p w14:paraId="1709C6A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szCs w:val="30"/>
          <w:lang w:eastAsia="zh-CN"/>
        </w:rPr>
      </w:pPr>
      <w:r>
        <w:rPr>
          <w:rFonts w:hint="eastAsia" w:ascii="仿宋" w:hAnsi="仿宋" w:eastAsia="仿宋" w:cs="仿宋"/>
          <w:spacing w:val="4"/>
          <w:sz w:val="24"/>
          <w:szCs w:val="30"/>
          <w:highlight w:val="none"/>
        </w:rPr>
        <w:t>致：</w:t>
      </w:r>
      <w:r>
        <w:rPr>
          <w:rFonts w:hint="eastAsia" w:ascii="仿宋" w:hAnsi="仿宋" w:eastAsia="仿宋" w:cs="仿宋"/>
          <w:spacing w:val="4"/>
          <w:sz w:val="24"/>
          <w:szCs w:val="30"/>
          <w:highlight w:val="none"/>
          <w:u w:val="single"/>
          <w:lang w:val="en-US" w:eastAsia="zh-CN"/>
        </w:rPr>
        <w:t>西安市雁塔区第十小学</w:t>
      </w:r>
      <w:r>
        <w:rPr>
          <w:rFonts w:hint="eastAsia" w:ascii="仿宋" w:hAnsi="仿宋" w:eastAsia="仿宋" w:cs="仿宋"/>
          <w:b w:val="0"/>
          <w:bCs/>
          <w:spacing w:val="4"/>
          <w:sz w:val="24"/>
          <w:szCs w:val="24"/>
          <w:highlight w:val="none"/>
          <w:u w:val="single"/>
          <w:lang w:val="en-US" w:eastAsia="zh-CN"/>
        </w:rPr>
        <w:t>/</w:t>
      </w:r>
      <w:r>
        <w:rPr>
          <w:rFonts w:hint="eastAsia" w:ascii="仿宋" w:hAnsi="仿宋" w:eastAsia="仿宋" w:cs="仿宋"/>
          <w:b w:val="0"/>
          <w:bCs/>
          <w:spacing w:val="4"/>
          <w:sz w:val="24"/>
          <w:szCs w:val="24"/>
          <w:highlight w:val="none"/>
          <w:u w:val="single"/>
          <w:lang w:eastAsia="zh-CN"/>
        </w:rPr>
        <w:t>华夏国际项目管理有限公司</w:t>
      </w:r>
    </w:p>
    <w:p w14:paraId="08B09F6C">
      <w:pPr>
        <w:keepNext w:val="0"/>
        <w:keepLines w:val="0"/>
        <w:pageBreakBefore w:val="0"/>
        <w:widowControl w:val="0"/>
        <w:kinsoku/>
        <w:wordWrap/>
        <w:overflowPunct/>
        <w:topLinePunct w:val="0"/>
        <w:autoSpaceDE/>
        <w:autoSpaceDN/>
        <w:bidi w:val="0"/>
        <w:adjustRightInd/>
        <w:snapToGrid/>
        <w:spacing w:line="500" w:lineRule="exact"/>
        <w:ind w:firstLine="744" w:firstLineChars="3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u w:val="single"/>
        </w:rPr>
        <w:t>(</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供应商</w:t>
      </w:r>
      <w:r>
        <w:rPr>
          <w:rFonts w:hint="eastAsia" w:ascii="仿宋" w:hAnsi="仿宋" w:eastAsia="仿宋" w:cs="仿宋"/>
          <w:spacing w:val="4"/>
          <w:sz w:val="24"/>
          <w:szCs w:val="30"/>
          <w:u w:val="single"/>
        </w:rPr>
        <w:t xml:space="preserve">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年  月  日 ）</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rPr>
        <w:t>成立。</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项目编号</w:t>
      </w:r>
      <w:r>
        <w:rPr>
          <w:rFonts w:hint="eastAsia" w:ascii="仿宋" w:hAnsi="仿宋" w:eastAsia="仿宋" w:cs="仿宋"/>
          <w:spacing w:val="4"/>
          <w:sz w:val="24"/>
          <w:szCs w:val="30"/>
          <w:u w:val="single"/>
          <w:lang w:eastAsia="zh-CN"/>
        </w:rPr>
        <w:t>、</w:t>
      </w:r>
      <w:r>
        <w:rPr>
          <w:rFonts w:hint="eastAsia" w:ascii="仿宋" w:hAnsi="仿宋" w:eastAsia="仿宋" w:cs="仿宋"/>
          <w:spacing w:val="4"/>
          <w:sz w:val="24"/>
          <w:szCs w:val="30"/>
          <w:u w:val="single"/>
          <w:lang w:val="en-US" w:eastAsia="zh-CN"/>
        </w:rPr>
        <w:t>包号</w:t>
      </w:r>
      <w:r>
        <w:rPr>
          <w:rFonts w:hint="eastAsia" w:ascii="仿宋" w:hAnsi="仿宋" w:eastAsia="仿宋" w:cs="仿宋"/>
          <w:spacing w:val="4"/>
          <w:sz w:val="24"/>
          <w:szCs w:val="30"/>
          <w:u w:val="single"/>
        </w:rPr>
        <w:t xml:space="preserve">   </w:t>
      </w:r>
      <w:r>
        <w:rPr>
          <w:rFonts w:hint="eastAsia" w:ascii="仿宋" w:hAnsi="仿宋" w:eastAsia="仿宋" w:cs="仿宋"/>
          <w:spacing w:val="4"/>
          <w:sz w:val="24"/>
          <w:szCs w:val="30"/>
        </w:rPr>
        <w:t>项目的谈判、签约等具体工作，并签署全部有关的文件、协议及合同。</w:t>
      </w:r>
    </w:p>
    <w:p w14:paraId="3BCE31EB">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与谈判有效期一致</w:t>
      </w:r>
      <w:r>
        <w:rPr>
          <w:rFonts w:hint="eastAsia" w:ascii="仿宋" w:hAnsi="仿宋" w:eastAsia="仿宋" w:cs="仿宋"/>
          <w:spacing w:val="4"/>
          <w:sz w:val="24"/>
          <w:szCs w:val="30"/>
        </w:rPr>
        <w:t>。</w:t>
      </w:r>
    </w:p>
    <w:p w14:paraId="65CB3D2E">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p>
    <w:tbl>
      <w:tblPr>
        <w:tblStyle w:val="12"/>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noWrap w:val="0"/>
            <w:vAlign w:val="top"/>
          </w:tcPr>
          <w:p w14:paraId="1D04F81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val="en-US" w:eastAsia="zh-CN"/>
              </w:rPr>
              <w:t>被授权人</w:t>
            </w:r>
            <w:r>
              <w:rPr>
                <w:rFonts w:hint="eastAsia" w:ascii="仿宋" w:hAnsi="仿宋" w:eastAsia="仿宋" w:cs="仿宋"/>
                <w:spacing w:val="4"/>
                <w:sz w:val="24"/>
                <w:highlight w:val="none"/>
                <w:lang w:eastAsia="zh-CN"/>
              </w:rPr>
              <w:t>签字或盖章</w:t>
            </w:r>
            <w:r>
              <w:rPr>
                <w:rFonts w:hint="eastAsia" w:ascii="仿宋" w:hAnsi="仿宋" w:eastAsia="仿宋" w:cs="仿宋"/>
                <w:spacing w:val="4"/>
                <w:sz w:val="24"/>
                <w:highlight w:val="none"/>
              </w:rPr>
              <w:t>：</w:t>
            </w:r>
          </w:p>
        </w:tc>
        <w:tc>
          <w:tcPr>
            <w:tcW w:w="3990" w:type="dxa"/>
            <w:noWrap w:val="0"/>
            <w:vAlign w:val="top"/>
          </w:tcPr>
          <w:p w14:paraId="082F3CD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eastAsia="zh-CN"/>
              </w:rPr>
              <w:t>法定代表人签字或盖章</w:t>
            </w:r>
            <w:r>
              <w:rPr>
                <w:rFonts w:hint="eastAsia" w:ascii="仿宋" w:hAnsi="仿宋" w:eastAsia="仿宋" w:cs="仿宋"/>
                <w:spacing w:val="4"/>
                <w:sz w:val="24"/>
                <w:highlight w:val="none"/>
              </w:rPr>
              <w:t>：</w:t>
            </w:r>
          </w:p>
        </w:tc>
      </w:tr>
      <w:tr w14:paraId="0DE56D1E">
        <w:tblPrEx>
          <w:tblCellMar>
            <w:top w:w="0" w:type="dxa"/>
            <w:left w:w="108" w:type="dxa"/>
            <w:bottom w:w="0" w:type="dxa"/>
            <w:right w:w="108" w:type="dxa"/>
          </w:tblCellMar>
        </w:tblPrEx>
        <w:trPr>
          <w:trHeight w:val="600" w:hRule="atLeast"/>
        </w:trPr>
        <w:tc>
          <w:tcPr>
            <w:tcW w:w="4200" w:type="dxa"/>
            <w:noWrap w:val="0"/>
            <w:vAlign w:val="top"/>
          </w:tcPr>
          <w:p w14:paraId="36B1AF2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noWrap w:val="0"/>
            <w:vAlign w:val="top"/>
          </w:tcPr>
          <w:p w14:paraId="3588534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noWrap w:val="0"/>
            <w:vAlign w:val="top"/>
          </w:tcPr>
          <w:p w14:paraId="0219AA0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noWrap w:val="0"/>
            <w:vAlign w:val="top"/>
          </w:tcPr>
          <w:p w14:paraId="4222C48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noWrap w:val="0"/>
            <w:vAlign w:val="top"/>
          </w:tcPr>
          <w:p w14:paraId="44DE450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noWrap w:val="0"/>
            <w:vAlign w:val="top"/>
          </w:tcPr>
          <w:p w14:paraId="20CD161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p>
        </w:tc>
      </w:tr>
    </w:tbl>
    <w:p w14:paraId="1AE302C9">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4C61C61B">
      <w:pPr>
        <w:spacing w:line="440" w:lineRule="exact"/>
        <w:ind w:firstLine="496" w:firstLineChars="200"/>
        <w:rPr>
          <w:rFonts w:hint="eastAsia" w:ascii="仿宋" w:hAnsi="仿宋" w:eastAsia="仿宋" w:cs="仿宋"/>
          <w:spacing w:val="4"/>
          <w:sz w:val="24"/>
          <w:szCs w:val="24"/>
        </w:rPr>
      </w:pPr>
    </w:p>
    <w:p w14:paraId="1F32E1D8">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bCs/>
          <w:sz w:val="24"/>
          <w:szCs w:val="24"/>
          <w:lang w:val="zh-CN"/>
        </w:rPr>
        <w:t>说明：法定代表人参加谈判时无需提供。</w:t>
      </w:r>
    </w:p>
    <w:p w14:paraId="1F447EF7">
      <w:pPr>
        <w:rPr>
          <w:rFonts w:hint="eastAsia" w:ascii="仿宋" w:hAnsi="仿宋" w:eastAsia="仿宋" w:cs="仿宋"/>
          <w:b/>
          <w:sz w:val="24"/>
          <w:szCs w:val="24"/>
        </w:rPr>
      </w:pPr>
      <w:r>
        <w:rPr>
          <w:rFonts w:hint="eastAsia" w:ascii="仿宋" w:hAnsi="仿宋" w:eastAsia="仿宋" w:cs="仿宋"/>
          <w:b/>
          <w:bCs/>
          <w:sz w:val="24"/>
          <w:szCs w:val="24"/>
          <w:lang w:val="zh-CN"/>
        </w:rPr>
        <w:br w:type="page"/>
      </w:r>
    </w:p>
    <w:p w14:paraId="13CEBDB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6E4FEF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5BE67E7">
      <w:pPr>
        <w:spacing w:line="360" w:lineRule="auto"/>
        <w:rPr>
          <w:rFonts w:hint="eastAsia" w:ascii="仿宋" w:hAnsi="仿宋" w:eastAsia="仿宋" w:cs="仿宋"/>
          <w:spacing w:val="4"/>
          <w:szCs w:val="21"/>
          <w:highlight w:val="none"/>
        </w:rPr>
      </w:pPr>
    </w:p>
    <w:p w14:paraId="0183B4F6">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30"/>
          <w:highlight w:val="none"/>
          <w:u w:val="single"/>
          <w:lang w:val="en-US" w:eastAsia="zh-CN"/>
        </w:rPr>
        <w:t>西安市雁塔区第十小学</w:t>
      </w:r>
    </w:p>
    <w:p w14:paraId="4BCAA6B6">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16AD83E2">
      <w:pPr>
        <w:pStyle w:val="6"/>
        <w:rPr>
          <w:rFonts w:hint="eastAsia"/>
          <w:sz w:val="24"/>
          <w:szCs w:val="24"/>
          <w:highlight w:val="none"/>
        </w:rPr>
      </w:pPr>
    </w:p>
    <w:p w14:paraId="5A539A14">
      <w:pPr>
        <w:rPr>
          <w:rFonts w:hint="eastAsia"/>
          <w:sz w:val="24"/>
          <w:szCs w:val="24"/>
          <w:highlight w:val="none"/>
        </w:rPr>
      </w:pPr>
    </w:p>
    <w:p w14:paraId="0A3D03BB">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394D1430">
      <w:pPr>
        <w:spacing w:line="280" w:lineRule="exact"/>
        <w:ind w:right="540" w:rightChars="257"/>
        <w:jc w:val="left"/>
        <w:rPr>
          <w:rFonts w:hint="eastAsia" w:ascii="仿宋" w:hAnsi="仿宋" w:eastAsia="仿宋" w:cs="仿宋"/>
          <w:sz w:val="24"/>
          <w:szCs w:val="24"/>
          <w:highlight w:val="none"/>
        </w:rPr>
      </w:pPr>
    </w:p>
    <w:p w14:paraId="66B76F4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0975241">
      <w:pPr>
        <w:spacing w:line="280" w:lineRule="exact"/>
        <w:ind w:right="540" w:rightChars="257"/>
        <w:jc w:val="left"/>
        <w:rPr>
          <w:rFonts w:hint="eastAsia" w:ascii="仿宋" w:hAnsi="仿宋" w:eastAsia="仿宋" w:cs="仿宋"/>
          <w:sz w:val="24"/>
          <w:szCs w:val="24"/>
          <w:highlight w:val="none"/>
        </w:rPr>
      </w:pPr>
    </w:p>
    <w:p w14:paraId="3A5E5CD0">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98EB818">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highlight w:val="none"/>
          <w:lang w:eastAsia="zh-CN"/>
        </w:rPr>
        <w:br w:type="page"/>
      </w:r>
    </w:p>
    <w:p w14:paraId="006ADF6B">
      <w:pPr>
        <w:rPr>
          <w:rFonts w:hint="eastAsia"/>
          <w:lang w:eastAsia="zh-CN"/>
        </w:rPr>
      </w:pPr>
    </w:p>
    <w:p w14:paraId="589F3C3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1081857B">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书面声明</w:t>
      </w:r>
    </w:p>
    <w:p w14:paraId="6C95926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76C60C8">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0FA5E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spacing w:val="4"/>
          <w:sz w:val="24"/>
          <w:szCs w:val="30"/>
          <w:highlight w:val="none"/>
          <w:u w:val="single"/>
          <w:lang w:val="en-US" w:eastAsia="zh-CN"/>
        </w:rPr>
        <w:t>西安市雁塔区第十小学</w:t>
      </w:r>
    </w:p>
    <w:p w14:paraId="2EC85D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495E69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71444055">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24C01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316779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0F7155E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24888EF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4C1621C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48E5E8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7F3AA7C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76B0A86">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499AE5E">
      <w:pPr>
        <w:pStyle w:val="10"/>
        <w:rPr>
          <w:rFonts w:hint="eastAsia"/>
        </w:rPr>
      </w:pPr>
    </w:p>
    <w:p w14:paraId="3E0171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B941B45">
      <w:pPr>
        <w:pStyle w:val="2"/>
        <w:ind w:left="0" w:leftChars="0" w:firstLine="0" w:firstLineChars="0"/>
        <w:rPr>
          <w:rFonts w:hint="eastAsia"/>
        </w:rPr>
      </w:pPr>
      <w:r>
        <w:rPr>
          <w:rFonts w:hint="eastAsia" w:ascii="仿宋" w:hAnsi="仿宋" w:eastAsia="仿宋" w:cs="仿宋"/>
          <w:spacing w:val="0"/>
          <w:sz w:val="24"/>
          <w:szCs w:val="24"/>
        </w:rPr>
        <w:t>注：供应商在参加政府采购活动前 3 年内因违法经营被禁止在一定期限内参加政府采购活动，期限届满的，可以参加政府采购活动，但应提供相关证明材料。</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jNjA3YjNkZTkyNDk4OTI5YWU2YmU2MzVkMmI4MTA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090D5948"/>
    <w:rsid w:val="2CA875AE"/>
    <w:rsid w:val="4108377F"/>
    <w:rsid w:val="49F6252E"/>
    <w:rsid w:val="511C7B9E"/>
    <w:rsid w:val="57D06F0C"/>
    <w:rsid w:val="60E7176F"/>
    <w:rsid w:val="6B8E3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4">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Normal (Web)"/>
    <w:basedOn w:val="1"/>
    <w:qFormat/>
    <w:uiPriority w:val="0"/>
    <w:rPr>
      <w:rFonts w:ascii="Calibri" w:hAnsi="Calibri"/>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0"/>
    <w:pPr>
      <w:ind w:firstLine="420" w:firstLineChars="200"/>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3"/>
    <w:qFormat/>
    <w:uiPriority w:val="99"/>
    <w:rPr>
      <w:sz w:val="18"/>
      <w:szCs w:val="18"/>
    </w:rPr>
  </w:style>
  <w:style w:type="character" w:customStyle="1" w:styleId="16">
    <w:name w:val="页脚 Char"/>
    <w:basedOn w:val="14"/>
    <w:link w:val="8"/>
    <w:qFormat/>
    <w:uiPriority w:val="0"/>
    <w:rPr>
      <w:sz w:val="18"/>
      <w:szCs w:val="18"/>
    </w:rPr>
  </w:style>
  <w:style w:type="paragraph" w:customStyle="1" w:styleId="17">
    <w:name w:val="样式 标题 2 + Times New Roman 四号 非加粗 段前: 5 磅 段后: 0 磅 行距: 固定值 20..."/>
    <w:basedOn w:val="4"/>
    <w:qFormat/>
    <w:uiPriority w:val="0"/>
    <w:pPr>
      <w:spacing w:before="100" w:line="400" w:lineRule="exact"/>
    </w:pPr>
    <w:rPr>
      <w:rFonts w:ascii="Times New Roman" w:hAnsi="Times New Roman" w:eastAsia="黑体" w:cs="宋体"/>
      <w:bCs w:val="0"/>
      <w:kern w:val="0"/>
      <w:sz w:val="28"/>
      <w:szCs w:val="20"/>
    </w:rPr>
  </w:style>
  <w:style w:type="character" w:customStyle="1" w:styleId="18">
    <w:name w:val="标题 2 Char"/>
    <w:basedOn w:val="14"/>
    <w:link w:val="4"/>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1593</Words>
  <Characters>1605</Characters>
  <Lines>24</Lines>
  <Paragraphs>6</Paragraphs>
  <TotalTime>0</TotalTime>
  <ScaleCrop>false</ScaleCrop>
  <LinksUpToDate>false</LinksUpToDate>
  <CharactersWithSpaces>1942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1</cp:lastModifiedBy>
  <dcterms:modified xsi:type="dcterms:W3CDTF">2025-06-27T11:48:18Z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06FE2C33AB934BF7B3838C9230ADCA33_12</vt:lpwstr>
  </property>
  <property fmtid="{D5CDD505-2E9C-101B-9397-08002B2CF9AE}" pid="4" name="KSOTemplateDocerSaveRecord">
    <vt:lpwstr>eyJoZGlkIjoiYWRjNjA3YjNkZTkyNDk4OTI5YWU2YmU2MzVkMmI4MTAiLCJ1c2VySWQiOiI0ODU3MDc4MjgifQ==</vt:lpwstr>
  </property>
</Properties>
</file>