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B546A">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8"/>
          <w:szCs w:val="28"/>
        </w:rPr>
        <w:t>供货服务方案</w:t>
      </w:r>
    </w:p>
    <w:p w14:paraId="286A95CA">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按照竞争性谈判文件的要求编制的谈判方案说明书，内容包括设备（产品）技术说明、组织供货和服务的详细说明、技术规格响应表、设备（产品）配置说明彩页</w:t>
      </w:r>
      <w:r>
        <w:rPr>
          <w:rFonts w:hint="eastAsia" w:ascii="仿宋" w:hAnsi="仿宋" w:eastAsia="仿宋" w:cs="仿宋"/>
          <w:color w:val="auto"/>
          <w:sz w:val="24"/>
          <w:szCs w:val="24"/>
          <w:lang w:eastAsia="zh-CN"/>
        </w:rPr>
        <w:t>（如有）</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生产厂家出具的、相应的功能证明材料（包括但不限于测试报告、官网和功能截图等）</w:t>
      </w:r>
      <w:r>
        <w:rPr>
          <w:rFonts w:hint="eastAsia" w:ascii="仿宋" w:hAnsi="仿宋" w:eastAsia="仿宋" w:cs="仿宋"/>
          <w:color w:val="auto"/>
          <w:sz w:val="24"/>
          <w:szCs w:val="24"/>
        </w:rPr>
        <w:t>，质量保证和售后服务承诺等。</w:t>
      </w:r>
      <w:r>
        <w:rPr>
          <w:rFonts w:hint="eastAsia" w:ascii="仿宋" w:hAnsi="仿宋" w:eastAsia="仿宋" w:cs="仿宋"/>
          <w:b/>
          <w:color w:val="auto"/>
          <w:sz w:val="24"/>
          <w:szCs w:val="24"/>
        </w:rPr>
        <w:t>至少应包括</w:t>
      </w:r>
      <w:r>
        <w:rPr>
          <w:rFonts w:hint="eastAsia" w:ascii="仿宋" w:hAnsi="仿宋" w:eastAsia="仿宋" w:cs="仿宋"/>
          <w:b/>
          <w:color w:val="auto"/>
          <w:sz w:val="24"/>
          <w:szCs w:val="24"/>
          <w:lang w:eastAsia="zh-CN"/>
        </w:rPr>
        <w:t>：</w:t>
      </w:r>
    </w:p>
    <w:p w14:paraId="43DB8203">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1、完成项目的技术方案，要求谈判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针对本项目的需求提出全面、完整的技术方案；</w:t>
      </w:r>
    </w:p>
    <w:p w14:paraId="5BD81B44">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2、谈判设备（产品）的商标、型号、功能、技术规格、详细的供货配置清单（原材料说明、结构图、效果图如有）；</w:t>
      </w:r>
    </w:p>
    <w:p w14:paraId="11AED5F7">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lang w:eastAsia="zh-CN"/>
        </w:rPr>
        <w:t>产品来源渠道合法的证明文件（包括但不限于销售协议</w:t>
      </w:r>
      <w:r>
        <w:rPr>
          <w:rFonts w:hint="eastAsia" w:ascii="仿宋" w:hAnsi="仿宋" w:eastAsia="仿宋" w:cs="仿宋"/>
          <w:color w:val="auto"/>
          <w:sz w:val="24"/>
          <w:lang w:val="en-US" w:eastAsia="zh-CN"/>
        </w:rPr>
        <w:t>/</w:t>
      </w:r>
      <w:r>
        <w:rPr>
          <w:rFonts w:hint="eastAsia" w:ascii="仿宋" w:hAnsi="仿宋" w:eastAsia="仿宋" w:cs="仿宋"/>
          <w:color w:val="auto"/>
          <w:sz w:val="24"/>
          <w:lang w:eastAsia="zh-CN"/>
        </w:rPr>
        <w:t>代理协议</w:t>
      </w:r>
      <w:r>
        <w:rPr>
          <w:rFonts w:hint="eastAsia" w:ascii="仿宋" w:hAnsi="仿宋" w:eastAsia="仿宋" w:cs="仿宋"/>
          <w:color w:val="auto"/>
          <w:sz w:val="24"/>
          <w:lang w:val="en-US" w:eastAsia="zh-CN"/>
        </w:rPr>
        <w:t>/</w:t>
      </w:r>
      <w:r>
        <w:rPr>
          <w:rFonts w:hint="eastAsia" w:ascii="仿宋" w:hAnsi="仿宋" w:eastAsia="仿宋" w:cs="仿宋"/>
          <w:color w:val="auto"/>
          <w:sz w:val="24"/>
          <w:lang w:eastAsia="zh-CN"/>
        </w:rPr>
        <w:t>原厂授权等）；</w:t>
      </w:r>
    </w:p>
    <w:p w14:paraId="24CA686A">
      <w:pPr>
        <w:keepNext w:val="0"/>
        <w:keepLines w:val="0"/>
        <w:pageBreakBefore w:val="0"/>
        <w:widowControl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、填写技术规格响应表（见附表）并提供支持文件；</w:t>
      </w:r>
    </w:p>
    <w:p w14:paraId="7B8ED84C">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、谈判产品的制造商情况及原产地、质量标准、检测标准、是否符合国家规范及相关认证等；</w:t>
      </w:r>
    </w:p>
    <w:p w14:paraId="2CA584CA">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、谈判产品的彩页</w:t>
      </w:r>
      <w:r>
        <w:rPr>
          <w:rFonts w:hint="eastAsia" w:ascii="仿宋" w:hAnsi="仿宋" w:eastAsia="仿宋" w:cs="仿宋"/>
          <w:color w:val="auto"/>
          <w:sz w:val="24"/>
          <w:szCs w:val="24"/>
          <w:lang w:eastAsia="zh-CN"/>
        </w:rPr>
        <w:t>（如有）</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生产厂家出具的、相应的功能证明材料（包括但不限于测试报告、官网和功能截图等）</w:t>
      </w:r>
      <w:r>
        <w:rPr>
          <w:rFonts w:hint="eastAsia" w:ascii="仿宋" w:hAnsi="仿宋" w:eastAsia="仿宋" w:cs="仿宋"/>
          <w:color w:val="auto"/>
          <w:sz w:val="24"/>
          <w:szCs w:val="24"/>
        </w:rPr>
        <w:t>；</w:t>
      </w:r>
    </w:p>
    <w:p w14:paraId="117D312F">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、技术规格优于或偏离谈判要求的指标；</w:t>
      </w:r>
    </w:p>
    <w:p w14:paraId="7E23C89B">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、服务范围和服务内容的详细说明；</w:t>
      </w:r>
    </w:p>
    <w:p w14:paraId="3FD67C77">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、质量保证措施、培训方案、售后服务方案、响应时间等。</w:t>
      </w:r>
    </w:p>
    <w:p w14:paraId="4EFDFAC4">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、提供的维保服务点的名称、地址、电话联系人、应在谈判文件中说明；</w:t>
      </w:r>
    </w:p>
    <w:p w14:paraId="07935228">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、供应商服务承诺书；</w:t>
      </w:r>
    </w:p>
    <w:p w14:paraId="0EB47674">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、供应商认为有必要说明的问题。</w:t>
      </w:r>
    </w:p>
    <w:p w14:paraId="5343EBC4">
      <w:pPr>
        <w:rPr>
          <w:rFonts w:hint="eastAsia" w:ascii="仿宋" w:hAnsi="仿宋" w:eastAsia="仿宋" w:cs="仿宋"/>
          <w:sz w:val="24"/>
          <w:szCs w:val="24"/>
        </w:rPr>
      </w:pPr>
      <w:r>
        <w:rPr>
          <w:rFonts w:hint="eastAsia" w:ascii="仿宋" w:hAnsi="仿宋" w:eastAsia="仿宋" w:cs="仿宋"/>
          <w:sz w:val="24"/>
          <w:szCs w:val="24"/>
        </w:rPr>
        <w:br w:type="page"/>
      </w:r>
    </w:p>
    <w:p w14:paraId="03E7A42B">
      <w:pPr>
        <w:keepNext w:val="0"/>
        <w:keepLines w:val="0"/>
        <w:pageBreakBefore w:val="0"/>
        <w:widowControl w:val="0"/>
        <w:wordWrap/>
        <w:overflowPunct/>
        <w:topLinePunct w:val="0"/>
        <w:autoSpaceDE/>
        <w:autoSpaceDN/>
        <w:bidi w:val="0"/>
        <w:adjustRightInd/>
        <w:snapToGrid/>
        <w:spacing w:line="480" w:lineRule="exact"/>
        <w:ind w:left="0" w:leftChars="0" w:right="0" w:rightChars="0" w:firstLine="0" w:firstLineChars="0"/>
        <w:jc w:val="both"/>
        <w:textAlignment w:val="auto"/>
        <w:outlineLvl w:val="2"/>
        <w:rPr>
          <w:rFonts w:hint="eastAsia" w:ascii="仿宋" w:hAnsi="仿宋" w:eastAsia="仿宋" w:cs="仿宋"/>
          <w:b/>
          <w:sz w:val="24"/>
          <w:szCs w:val="24"/>
        </w:rPr>
      </w:pPr>
      <w:bookmarkStart w:id="0" w:name="_Toc30466"/>
      <w:r>
        <w:rPr>
          <w:rFonts w:hint="eastAsia" w:ascii="仿宋" w:hAnsi="仿宋" w:eastAsia="仿宋" w:cs="仿宋"/>
          <w:b/>
          <w:sz w:val="24"/>
          <w:szCs w:val="24"/>
        </w:rPr>
        <w:t>附表1：</w:t>
      </w:r>
      <w:bookmarkEnd w:id="0"/>
    </w:p>
    <w:p w14:paraId="45E2FA20">
      <w:pPr>
        <w:spacing w:after="120"/>
        <w:jc w:val="center"/>
        <w:outlineLvl w:val="2"/>
        <w:rPr>
          <w:rFonts w:hint="eastAsia" w:ascii="仿宋" w:hAnsi="仿宋" w:eastAsia="仿宋" w:cs="仿宋"/>
          <w:b/>
          <w:sz w:val="32"/>
          <w:szCs w:val="32"/>
        </w:rPr>
      </w:pPr>
      <w:bookmarkStart w:id="1" w:name="_Toc24467"/>
      <w:r>
        <w:rPr>
          <w:rFonts w:hint="eastAsia" w:ascii="仿宋" w:hAnsi="仿宋" w:eastAsia="仿宋" w:cs="仿宋"/>
          <w:b/>
          <w:sz w:val="32"/>
          <w:szCs w:val="32"/>
        </w:rPr>
        <w:t>技术规格响应表</w:t>
      </w:r>
      <w:bookmarkEnd w:id="1"/>
    </w:p>
    <w:p w14:paraId="10DEBF3E">
      <w:pPr>
        <w:keepNext w:val="0"/>
        <w:keepLines w:val="0"/>
        <w:pageBreakBefore w:val="0"/>
        <w:widowControl w:val="0"/>
        <w:kinsoku/>
        <w:wordWrap/>
        <w:overflowPunct/>
        <w:topLinePunct w:val="0"/>
        <w:autoSpaceDE/>
        <w:autoSpaceDN/>
        <w:bidi w:val="0"/>
        <w:adjustRightInd/>
        <w:snapToGrid/>
        <w:spacing w:after="120" w:line="240" w:lineRule="auto"/>
        <w:ind w:firstLine="120" w:firstLineChars="50"/>
        <w:textAlignment w:val="auto"/>
        <w:rPr>
          <w:rFonts w:hint="eastAsia" w:ascii="仿宋" w:hAnsi="仿宋" w:eastAsia="仿宋" w:cs="仿宋"/>
          <w:sz w:val="24"/>
          <w:szCs w:val="24"/>
        </w:rPr>
      </w:pPr>
      <w:r>
        <w:rPr>
          <w:rFonts w:hint="eastAsia" w:ascii="仿宋" w:hAnsi="仿宋" w:eastAsia="仿宋" w:cs="仿宋"/>
          <w:sz w:val="24"/>
          <w:szCs w:val="24"/>
        </w:rPr>
        <w:t>项目名称：</w:t>
      </w:r>
    </w:p>
    <w:p w14:paraId="01BF5B36">
      <w:pPr>
        <w:keepNext w:val="0"/>
        <w:keepLines w:val="0"/>
        <w:pageBreakBefore w:val="0"/>
        <w:widowControl w:val="0"/>
        <w:kinsoku/>
        <w:wordWrap/>
        <w:overflowPunct/>
        <w:topLinePunct w:val="0"/>
        <w:autoSpaceDE/>
        <w:autoSpaceDN/>
        <w:bidi w:val="0"/>
        <w:adjustRightInd/>
        <w:snapToGrid/>
        <w:spacing w:after="120" w:line="240" w:lineRule="auto"/>
        <w:ind w:firstLine="120" w:firstLineChars="50"/>
        <w:textAlignment w:val="auto"/>
        <w:rPr>
          <w:rFonts w:hint="eastAsia" w:ascii="仿宋" w:hAnsi="仿宋" w:eastAsia="仿宋" w:cs="仿宋"/>
          <w:sz w:val="24"/>
          <w:szCs w:val="24"/>
        </w:rPr>
      </w:pPr>
      <w:r>
        <w:rPr>
          <w:rFonts w:hint="eastAsia" w:ascii="仿宋" w:hAnsi="仿宋" w:eastAsia="仿宋" w:cs="仿宋"/>
          <w:sz w:val="24"/>
          <w:szCs w:val="24"/>
        </w:rPr>
        <w:t>项目编号：</w:t>
      </w:r>
    </w:p>
    <w:p w14:paraId="72D43136">
      <w:pPr>
        <w:keepNext w:val="0"/>
        <w:keepLines w:val="0"/>
        <w:pageBreakBefore w:val="0"/>
        <w:widowControl w:val="0"/>
        <w:kinsoku/>
        <w:wordWrap/>
        <w:overflowPunct/>
        <w:topLinePunct w:val="0"/>
        <w:autoSpaceDE/>
        <w:autoSpaceDN/>
        <w:bidi w:val="0"/>
        <w:adjustRightInd/>
        <w:snapToGrid/>
        <w:spacing w:after="120" w:line="240" w:lineRule="auto"/>
        <w:ind w:firstLine="120" w:firstLineChars="5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包号：采购包1</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10"/>
        <w:gridCol w:w="1853"/>
        <w:gridCol w:w="1985"/>
        <w:gridCol w:w="2268"/>
        <w:gridCol w:w="1006"/>
        <w:gridCol w:w="722"/>
      </w:tblGrid>
      <w:tr w14:paraId="1D9B5C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3" w:hRule="atLeast"/>
          <w:jc w:val="center"/>
        </w:trPr>
        <w:tc>
          <w:tcPr>
            <w:tcW w:w="1010" w:type="dxa"/>
            <w:tcBorders>
              <w:bottom w:val="nil"/>
            </w:tcBorders>
            <w:noWrap w:val="0"/>
            <w:vAlign w:val="center"/>
          </w:tcPr>
          <w:p w14:paraId="549A3A4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853" w:type="dxa"/>
            <w:tcBorders>
              <w:bottom w:val="nil"/>
            </w:tcBorders>
            <w:noWrap w:val="0"/>
            <w:vAlign w:val="center"/>
          </w:tcPr>
          <w:p w14:paraId="1D2E788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产品名称</w:t>
            </w:r>
          </w:p>
        </w:tc>
        <w:tc>
          <w:tcPr>
            <w:tcW w:w="1985" w:type="dxa"/>
            <w:tcBorders>
              <w:bottom w:val="nil"/>
            </w:tcBorders>
            <w:noWrap w:val="0"/>
            <w:vAlign w:val="top"/>
          </w:tcPr>
          <w:p w14:paraId="5A983CE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谈判文件</w:t>
            </w:r>
          </w:p>
          <w:p w14:paraId="3156A7B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要求数据</w:t>
            </w:r>
          </w:p>
        </w:tc>
        <w:tc>
          <w:tcPr>
            <w:tcW w:w="2268" w:type="dxa"/>
            <w:tcBorders>
              <w:bottom w:val="nil"/>
            </w:tcBorders>
            <w:noWrap w:val="0"/>
            <w:vAlign w:val="top"/>
          </w:tcPr>
          <w:p w14:paraId="007028E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响应文件</w:t>
            </w:r>
          </w:p>
          <w:p w14:paraId="14D02A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实际数据</w:t>
            </w:r>
          </w:p>
        </w:tc>
        <w:tc>
          <w:tcPr>
            <w:tcW w:w="1006" w:type="dxa"/>
            <w:tcBorders>
              <w:bottom w:val="nil"/>
            </w:tcBorders>
            <w:noWrap w:val="0"/>
            <w:vAlign w:val="top"/>
          </w:tcPr>
          <w:p w14:paraId="57C81A7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偏离</w:t>
            </w:r>
            <w:r>
              <w:rPr>
                <w:rFonts w:hint="eastAsia" w:ascii="仿宋" w:hAnsi="仿宋" w:eastAsia="仿宋" w:cs="仿宋"/>
                <w:sz w:val="24"/>
                <w:szCs w:val="24"/>
                <w:lang w:eastAsia="zh-CN"/>
              </w:rPr>
              <w:t>说明</w:t>
            </w:r>
          </w:p>
        </w:tc>
        <w:tc>
          <w:tcPr>
            <w:tcW w:w="722" w:type="dxa"/>
            <w:tcBorders>
              <w:bottom w:val="nil"/>
            </w:tcBorders>
            <w:noWrap w:val="0"/>
            <w:vAlign w:val="center"/>
          </w:tcPr>
          <w:p w14:paraId="212E208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备注</w:t>
            </w:r>
          </w:p>
        </w:tc>
      </w:tr>
      <w:tr w14:paraId="36A32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89" w:hRule="atLeast"/>
          <w:jc w:val="center"/>
        </w:trPr>
        <w:tc>
          <w:tcPr>
            <w:tcW w:w="1010" w:type="dxa"/>
            <w:tcBorders>
              <w:top w:val="single" w:color="auto" w:sz="12" w:space="0"/>
              <w:left w:val="single" w:color="auto" w:sz="12" w:space="0"/>
              <w:bottom w:val="nil"/>
              <w:right w:val="single" w:color="auto" w:sz="6" w:space="0"/>
            </w:tcBorders>
            <w:noWrap w:val="0"/>
            <w:vAlign w:val="top"/>
          </w:tcPr>
          <w:p w14:paraId="0428C54F">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853" w:type="dxa"/>
            <w:tcBorders>
              <w:top w:val="single" w:color="auto" w:sz="12" w:space="0"/>
              <w:left w:val="single" w:color="auto" w:sz="6" w:space="0"/>
              <w:bottom w:val="nil"/>
              <w:right w:val="single" w:color="auto" w:sz="6" w:space="0"/>
            </w:tcBorders>
            <w:noWrap w:val="0"/>
            <w:vAlign w:val="top"/>
          </w:tcPr>
          <w:p w14:paraId="1D88E9B9">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985" w:type="dxa"/>
            <w:tcBorders>
              <w:top w:val="single" w:color="auto" w:sz="12" w:space="0"/>
              <w:left w:val="single" w:color="auto" w:sz="6" w:space="0"/>
              <w:bottom w:val="nil"/>
              <w:right w:val="single" w:color="auto" w:sz="6" w:space="0"/>
            </w:tcBorders>
            <w:noWrap w:val="0"/>
            <w:vAlign w:val="top"/>
          </w:tcPr>
          <w:p w14:paraId="067CE733">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2268" w:type="dxa"/>
            <w:tcBorders>
              <w:top w:val="single" w:color="auto" w:sz="12" w:space="0"/>
              <w:left w:val="single" w:color="auto" w:sz="6" w:space="0"/>
              <w:bottom w:val="nil"/>
              <w:right w:val="single" w:color="auto" w:sz="6" w:space="0"/>
            </w:tcBorders>
            <w:noWrap w:val="0"/>
            <w:vAlign w:val="top"/>
          </w:tcPr>
          <w:p w14:paraId="2C3E60C2">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006" w:type="dxa"/>
            <w:tcBorders>
              <w:top w:val="single" w:color="auto" w:sz="12" w:space="0"/>
              <w:left w:val="single" w:color="auto" w:sz="6" w:space="0"/>
              <w:bottom w:val="nil"/>
              <w:right w:val="single" w:color="auto" w:sz="6" w:space="0"/>
            </w:tcBorders>
            <w:noWrap w:val="0"/>
            <w:vAlign w:val="top"/>
          </w:tcPr>
          <w:p w14:paraId="5C2660F4">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722" w:type="dxa"/>
            <w:tcBorders>
              <w:top w:val="single" w:color="auto" w:sz="12" w:space="0"/>
              <w:left w:val="single" w:color="auto" w:sz="6" w:space="0"/>
              <w:bottom w:val="nil"/>
              <w:right w:val="single" w:color="auto" w:sz="12" w:space="0"/>
            </w:tcBorders>
            <w:noWrap w:val="0"/>
            <w:vAlign w:val="top"/>
          </w:tcPr>
          <w:p w14:paraId="115A2F4E">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r>
      <w:tr w14:paraId="352F1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192" w:hRule="atLeast"/>
          <w:jc w:val="center"/>
        </w:trPr>
        <w:tc>
          <w:tcPr>
            <w:tcW w:w="1010" w:type="dxa"/>
            <w:tcBorders>
              <w:top w:val="nil"/>
            </w:tcBorders>
            <w:noWrap w:val="0"/>
            <w:vAlign w:val="top"/>
          </w:tcPr>
          <w:p w14:paraId="5D9A6A30">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853" w:type="dxa"/>
            <w:tcBorders>
              <w:top w:val="nil"/>
            </w:tcBorders>
            <w:noWrap w:val="0"/>
            <w:vAlign w:val="top"/>
          </w:tcPr>
          <w:p w14:paraId="0FC2CC08">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985" w:type="dxa"/>
            <w:tcBorders>
              <w:top w:val="nil"/>
            </w:tcBorders>
            <w:noWrap w:val="0"/>
            <w:vAlign w:val="top"/>
          </w:tcPr>
          <w:p w14:paraId="58A34E91">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2268" w:type="dxa"/>
            <w:tcBorders>
              <w:top w:val="nil"/>
            </w:tcBorders>
            <w:noWrap w:val="0"/>
            <w:vAlign w:val="top"/>
          </w:tcPr>
          <w:p w14:paraId="20FB522F">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1006" w:type="dxa"/>
            <w:tcBorders>
              <w:top w:val="nil"/>
            </w:tcBorders>
            <w:noWrap w:val="0"/>
            <w:vAlign w:val="top"/>
          </w:tcPr>
          <w:p w14:paraId="2DCB2591">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c>
          <w:tcPr>
            <w:tcW w:w="722" w:type="dxa"/>
            <w:tcBorders>
              <w:top w:val="nil"/>
            </w:tcBorders>
            <w:noWrap w:val="0"/>
            <w:vAlign w:val="top"/>
          </w:tcPr>
          <w:p w14:paraId="769190AA">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仿宋" w:hAnsi="仿宋" w:eastAsia="仿宋" w:cs="仿宋"/>
                <w:sz w:val="24"/>
                <w:szCs w:val="24"/>
              </w:rPr>
            </w:pPr>
          </w:p>
        </w:tc>
      </w:tr>
    </w:tbl>
    <w:p w14:paraId="74328D9D">
      <w:pPr>
        <w:rPr>
          <w:rFonts w:hint="eastAsia" w:ascii="仿宋" w:hAnsi="仿宋" w:eastAsia="仿宋" w:cs="仿宋"/>
        </w:rPr>
      </w:pPr>
    </w:p>
    <w:p w14:paraId="4028DCEA">
      <w:pPr>
        <w:keepNext w:val="0"/>
        <w:keepLines w:val="0"/>
        <w:pageBreakBefore w:val="0"/>
        <w:widowControl w:val="0"/>
        <w:tabs>
          <w:tab w:val="left" w:pos="3045"/>
        </w:tabs>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eastAsia="zh-CN"/>
        </w:rPr>
        <w:t>法定代表人</w:t>
      </w:r>
      <w:r>
        <w:rPr>
          <w:rFonts w:hint="eastAsia" w:ascii="仿宋" w:hAnsi="仿宋" w:eastAsia="仿宋" w:cs="仿宋"/>
          <w:sz w:val="24"/>
          <w:szCs w:val="24"/>
          <w:lang w:val="en-US" w:eastAsia="zh-CN"/>
        </w:rPr>
        <w:t>或</w:t>
      </w:r>
      <w:r>
        <w:rPr>
          <w:rFonts w:hint="eastAsia" w:ascii="仿宋" w:hAnsi="仿宋" w:eastAsia="仿宋" w:cs="仿宋"/>
          <w:sz w:val="24"/>
          <w:szCs w:val="24"/>
          <w:lang w:eastAsia="zh-CN"/>
        </w:rPr>
        <w:t>被授权人</w:t>
      </w:r>
      <w:r>
        <w:rPr>
          <w:rFonts w:hint="eastAsia" w:ascii="仿宋" w:hAnsi="仿宋" w:eastAsia="仿宋" w:cs="仿宋"/>
          <w:sz w:val="24"/>
          <w:szCs w:val="24"/>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签字</w:t>
      </w:r>
      <w:r>
        <w:rPr>
          <w:rFonts w:hint="eastAsia" w:ascii="仿宋" w:hAnsi="仿宋" w:eastAsia="仿宋" w:cs="仿宋"/>
          <w:sz w:val="24"/>
          <w:szCs w:val="24"/>
          <w:lang w:eastAsia="zh-CN"/>
        </w:rPr>
        <w:t>或盖章</w:t>
      </w:r>
      <w:r>
        <w:rPr>
          <w:rFonts w:hint="eastAsia" w:ascii="仿宋" w:hAnsi="仿宋" w:eastAsia="仿宋" w:cs="仿宋"/>
          <w:sz w:val="24"/>
          <w:szCs w:val="24"/>
          <w:lang w:val="en-US" w:eastAsia="zh-CN"/>
        </w:rPr>
        <w:t>）</w:t>
      </w:r>
    </w:p>
    <w:p w14:paraId="51FF7369">
      <w:pPr>
        <w:keepNext w:val="0"/>
        <w:keepLines w:val="0"/>
        <w:pageBreakBefore w:val="0"/>
        <w:widowControl w:val="0"/>
        <w:tabs>
          <w:tab w:val="left" w:pos="3045"/>
        </w:tabs>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p>
    <w:p w14:paraId="6EBC33D3">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p>
    <w:p w14:paraId="1122FA2A">
      <w:pPr>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公      章：</w:t>
      </w:r>
    </w:p>
    <w:p w14:paraId="730ADB37">
      <w:pPr>
        <w:rPr>
          <w:rFonts w:hint="eastAsia" w:ascii="仿宋" w:hAnsi="仿宋" w:eastAsia="仿宋" w:cs="仿宋"/>
          <w:sz w:val="24"/>
          <w:szCs w:val="24"/>
        </w:rPr>
      </w:pPr>
    </w:p>
    <w:p w14:paraId="5FE151FE">
      <w:pPr>
        <w:ind w:left="0" w:leftChars="0"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说明：</w:t>
      </w:r>
    </w:p>
    <w:p w14:paraId="13567CAC">
      <w:pPr>
        <w:widowControl/>
        <w:ind w:firstLine="482"/>
        <w:rPr>
          <w:rFonts w:hint="eastAsia" w:ascii="仿宋" w:hAnsi="仿宋" w:eastAsia="仿宋" w:cs="仿宋"/>
          <w:b/>
          <w:bCs/>
          <w:kern w:val="0"/>
          <w:lang w:val="zh-CN"/>
        </w:rPr>
      </w:pPr>
      <w:r>
        <w:rPr>
          <w:rFonts w:hint="eastAsia" w:ascii="仿宋" w:hAnsi="仿宋" w:eastAsia="仿宋" w:cs="仿宋"/>
          <w:b/>
          <w:bCs/>
          <w:kern w:val="0"/>
        </w:rPr>
        <w:t>1、</w:t>
      </w:r>
      <w:r>
        <w:rPr>
          <w:rFonts w:hint="eastAsia" w:ascii="仿宋" w:hAnsi="仿宋" w:eastAsia="仿宋" w:cs="仿宋"/>
          <w:b/>
          <w:bCs/>
          <w:kern w:val="0"/>
          <w:lang w:val="zh-CN"/>
        </w:rPr>
        <w:t>请按项目的实际技术参数，逐条对应</w:t>
      </w:r>
      <w:r>
        <w:rPr>
          <w:rFonts w:hint="eastAsia" w:ascii="仿宋" w:hAnsi="仿宋" w:eastAsia="仿宋" w:cs="仿宋"/>
          <w:b/>
          <w:bCs/>
          <w:kern w:val="0"/>
        </w:rPr>
        <w:t>竞争性谈判</w:t>
      </w:r>
      <w:r>
        <w:rPr>
          <w:rFonts w:hint="eastAsia" w:ascii="仿宋" w:hAnsi="仿宋" w:eastAsia="仿宋" w:cs="仿宋"/>
          <w:b/>
          <w:bCs/>
          <w:kern w:val="0"/>
          <w:lang w:val="zh-CN"/>
        </w:rPr>
        <w:t>文件第三</w:t>
      </w:r>
      <w:r>
        <w:rPr>
          <w:rFonts w:hint="eastAsia" w:ascii="仿宋" w:hAnsi="仿宋" w:eastAsia="仿宋" w:cs="仿宋"/>
          <w:b/>
          <w:bCs/>
          <w:kern w:val="0"/>
        </w:rPr>
        <w:t>章</w:t>
      </w:r>
      <w:r>
        <w:rPr>
          <w:rFonts w:hint="eastAsia" w:ascii="仿宋" w:hAnsi="仿宋" w:eastAsia="仿宋" w:cs="仿宋"/>
          <w:b/>
          <w:bCs/>
          <w:kern w:val="0"/>
          <w:lang w:val="zh-CN"/>
        </w:rPr>
        <w:t>，认真填写本表。偏离情况填写：优于、等于或低于，偏离说明对偏离情况做出详细</w:t>
      </w:r>
      <w:r>
        <w:rPr>
          <w:rFonts w:hint="eastAsia" w:ascii="仿宋" w:hAnsi="仿宋" w:eastAsia="仿宋" w:cs="仿宋"/>
          <w:b/>
          <w:bCs/>
          <w:kern w:val="0"/>
        </w:rPr>
        <w:t>说明并提供证明材料，证明材料不限于产品检测报告复印件、官网产品相关截图等（备注中标明材料所在位置</w:t>
      </w:r>
      <w:r>
        <w:rPr>
          <w:rFonts w:hint="eastAsia" w:ascii="仿宋" w:hAnsi="仿宋" w:eastAsia="仿宋" w:cs="仿宋"/>
          <w:b/>
          <w:bCs/>
          <w:kern w:val="0"/>
          <w:lang w:val="en-US" w:eastAsia="zh-CN"/>
        </w:rPr>
        <w:t>及页码</w:t>
      </w:r>
      <w:r>
        <w:rPr>
          <w:rFonts w:hint="eastAsia" w:ascii="仿宋" w:hAnsi="仿宋" w:eastAsia="仿宋" w:cs="仿宋"/>
          <w:b/>
          <w:bCs/>
          <w:kern w:val="0"/>
        </w:rPr>
        <w:t>）</w:t>
      </w:r>
      <w:r>
        <w:rPr>
          <w:rFonts w:hint="eastAsia" w:ascii="仿宋" w:hAnsi="仿宋" w:eastAsia="仿宋" w:cs="仿宋"/>
          <w:b/>
          <w:bCs/>
          <w:kern w:val="0"/>
          <w:lang w:val="zh-CN"/>
        </w:rPr>
        <w:t>。</w:t>
      </w:r>
    </w:p>
    <w:p w14:paraId="589EFD4C">
      <w:pPr>
        <w:widowControl/>
        <w:ind w:firstLine="480"/>
        <w:rPr>
          <w:rFonts w:hint="eastAsia" w:ascii="仿宋" w:hAnsi="仿宋" w:eastAsia="仿宋" w:cs="仿宋"/>
          <w:kern w:val="0"/>
          <w:lang w:val="zh-CN"/>
        </w:rPr>
      </w:pPr>
      <w:r>
        <w:rPr>
          <w:rFonts w:hint="eastAsia" w:ascii="仿宋" w:hAnsi="仿宋" w:eastAsia="仿宋" w:cs="仿宋"/>
          <w:kern w:val="0"/>
          <w:lang w:val="zh-CN"/>
        </w:rPr>
        <w:t>2、</w:t>
      </w:r>
      <w:r>
        <w:rPr>
          <w:rFonts w:hint="eastAsia" w:ascii="仿宋" w:hAnsi="仿宋" w:eastAsia="仿宋" w:cs="仿宋"/>
          <w:kern w:val="0"/>
        </w:rPr>
        <w:t>供应商</w:t>
      </w:r>
      <w:r>
        <w:rPr>
          <w:rFonts w:hint="eastAsia" w:ascii="仿宋" w:hAnsi="仿宋" w:eastAsia="仿宋" w:cs="仿宋"/>
          <w:kern w:val="0"/>
          <w:lang w:val="zh-CN"/>
        </w:rPr>
        <w:t>应按实际情况填写，不得照抄、复制</w:t>
      </w:r>
      <w:r>
        <w:rPr>
          <w:rFonts w:hint="eastAsia" w:ascii="仿宋" w:hAnsi="仿宋" w:eastAsia="仿宋" w:cs="仿宋"/>
          <w:kern w:val="0"/>
        </w:rPr>
        <w:t>竞争性谈判</w:t>
      </w:r>
      <w:r>
        <w:rPr>
          <w:rFonts w:hint="eastAsia" w:ascii="仿宋" w:hAnsi="仿宋" w:eastAsia="仿宋" w:cs="仿宋"/>
          <w:kern w:val="0"/>
          <w:lang w:val="zh-CN"/>
        </w:rPr>
        <w:t>文件技术参数要求，</w:t>
      </w:r>
      <w:r>
        <w:rPr>
          <w:rFonts w:hint="eastAsia" w:ascii="仿宋" w:hAnsi="仿宋" w:eastAsia="仿宋" w:cs="仿宋"/>
          <w:kern w:val="0"/>
        </w:rPr>
        <w:t>否则视为未实质性响应竞争性谈判文件</w:t>
      </w:r>
      <w:r>
        <w:rPr>
          <w:rFonts w:hint="eastAsia" w:ascii="仿宋" w:hAnsi="仿宋" w:eastAsia="仿宋" w:cs="仿宋"/>
          <w:kern w:val="0"/>
          <w:lang w:val="zh-CN"/>
        </w:rPr>
        <w:t>。</w:t>
      </w:r>
    </w:p>
    <w:p w14:paraId="12CD3F97">
      <w:pPr>
        <w:tabs>
          <w:tab w:val="left" w:pos="668"/>
        </w:tabs>
        <w:spacing w:line="360" w:lineRule="auto"/>
        <w:ind w:firstLine="480" w:firstLineChars="200"/>
        <w:jc w:val="left"/>
        <w:rPr>
          <w:rFonts w:hint="eastAsia" w:ascii="宋体" w:hAnsi="宋体" w:eastAsia="宋体" w:cs="宋体"/>
          <w:kern w:val="0"/>
          <w:lang w:val="zh-CN"/>
        </w:rPr>
      </w:pPr>
      <w:r>
        <w:rPr>
          <w:rFonts w:hint="eastAsia" w:ascii="仿宋" w:hAnsi="仿宋" w:eastAsia="仿宋" w:cs="仿宋"/>
          <w:kern w:val="0"/>
          <w:lang w:val="zh-CN"/>
        </w:rPr>
        <w:t>3、供应商必须据实填写，不得虚假响应，否则将取消其响应或成交资格，并按有关规定进处罚</w:t>
      </w:r>
      <w:r>
        <w:rPr>
          <w:rFonts w:hint="eastAsia" w:ascii="宋体" w:hAnsi="宋体" w:eastAsia="宋体" w:cs="宋体"/>
          <w:kern w:val="0"/>
          <w:lang w:val="zh-CN"/>
        </w:rPr>
        <w:t>。</w:t>
      </w:r>
    </w:p>
    <w:p w14:paraId="3D4B053E">
      <w:pPr>
        <w:rPr>
          <w:rFonts w:hint="eastAsia" w:ascii="宋体" w:hAnsi="宋体" w:eastAsia="宋体" w:cs="宋体"/>
          <w:kern w:val="0"/>
          <w:lang w:val="zh-CN"/>
        </w:rPr>
      </w:pPr>
      <w:r>
        <w:rPr>
          <w:rFonts w:hint="eastAsia" w:ascii="宋体" w:hAnsi="宋体" w:eastAsia="宋体" w:cs="宋体"/>
          <w:kern w:val="0"/>
          <w:lang w:val="zh-CN"/>
        </w:rPr>
        <w:br w:type="page"/>
      </w:r>
    </w:p>
    <w:p w14:paraId="7387BAB9">
      <w:pPr>
        <w:widowControl/>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二次</w:t>
      </w:r>
      <w:r>
        <w:rPr>
          <w:rFonts w:hint="eastAsia" w:ascii="仿宋" w:hAnsi="仿宋" w:eastAsia="仿宋" w:cs="仿宋"/>
          <w:b/>
          <w:bCs/>
          <w:kern w:val="0"/>
          <w:sz w:val="28"/>
          <w:szCs w:val="28"/>
        </w:rPr>
        <w:t>分项报价表</w:t>
      </w:r>
    </w:p>
    <w:p w14:paraId="1A762A06">
      <w:pPr>
        <w:widowControl/>
        <w:spacing w:line="360" w:lineRule="auto"/>
        <w:ind w:left="0" w:leftChars="0" w:firstLine="0" w:firstLineChars="0"/>
        <w:rPr>
          <w:rFonts w:hint="eastAsia" w:ascii="仿宋" w:hAnsi="仿宋" w:eastAsia="仿宋" w:cs="仿宋"/>
          <w:kern w:val="0"/>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5"/>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6DF5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vAlign w:val="center"/>
          </w:tcPr>
          <w:p w14:paraId="09EF73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序号</w:t>
            </w:r>
          </w:p>
        </w:tc>
        <w:tc>
          <w:tcPr>
            <w:tcW w:w="1402" w:type="dxa"/>
            <w:vAlign w:val="center"/>
          </w:tcPr>
          <w:p w14:paraId="765477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产品名称</w:t>
            </w:r>
          </w:p>
        </w:tc>
        <w:tc>
          <w:tcPr>
            <w:tcW w:w="972" w:type="dxa"/>
            <w:vAlign w:val="center"/>
          </w:tcPr>
          <w:p w14:paraId="7917348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 xml:space="preserve">品牌 </w:t>
            </w:r>
          </w:p>
        </w:tc>
        <w:tc>
          <w:tcPr>
            <w:tcW w:w="1156" w:type="dxa"/>
            <w:vAlign w:val="center"/>
          </w:tcPr>
          <w:p w14:paraId="1638E93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规格</w:t>
            </w:r>
          </w:p>
          <w:p w14:paraId="2D317EE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 xml:space="preserve">型号 </w:t>
            </w:r>
          </w:p>
        </w:tc>
        <w:tc>
          <w:tcPr>
            <w:tcW w:w="1351" w:type="dxa"/>
            <w:vAlign w:val="center"/>
          </w:tcPr>
          <w:p w14:paraId="741E0FF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数 量</w:t>
            </w:r>
          </w:p>
        </w:tc>
        <w:tc>
          <w:tcPr>
            <w:tcW w:w="1063" w:type="dxa"/>
            <w:vAlign w:val="center"/>
          </w:tcPr>
          <w:p w14:paraId="67B05D9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单 价</w:t>
            </w:r>
          </w:p>
        </w:tc>
        <w:tc>
          <w:tcPr>
            <w:tcW w:w="1396" w:type="dxa"/>
            <w:vAlign w:val="center"/>
          </w:tcPr>
          <w:p w14:paraId="77B24F1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合 计</w:t>
            </w:r>
          </w:p>
        </w:tc>
        <w:tc>
          <w:tcPr>
            <w:tcW w:w="1169" w:type="dxa"/>
            <w:vAlign w:val="center"/>
          </w:tcPr>
          <w:p w14:paraId="25D63C8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备注</w:t>
            </w:r>
          </w:p>
        </w:tc>
      </w:tr>
      <w:tr w14:paraId="09536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40ECB1A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1402" w:type="dxa"/>
            <w:vAlign w:val="center"/>
          </w:tcPr>
          <w:p w14:paraId="6FA8778C">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14:paraId="63C1C30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14:paraId="6BFA6B0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14:paraId="1D6095E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14:paraId="5331481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14:paraId="28E607AE">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14:paraId="3E62179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14:paraId="0FF6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1486AA0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p>
        </w:tc>
        <w:tc>
          <w:tcPr>
            <w:tcW w:w="1402" w:type="dxa"/>
            <w:vAlign w:val="center"/>
          </w:tcPr>
          <w:p w14:paraId="73E7EF6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14:paraId="428A06D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14:paraId="5DB388C4">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14:paraId="4506A10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14:paraId="1C546F7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14:paraId="3EF17566">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14:paraId="7FF9A790">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14:paraId="2DDB9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vAlign w:val="center"/>
          </w:tcPr>
          <w:p w14:paraId="3FA3FB0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w:t>
            </w:r>
          </w:p>
        </w:tc>
        <w:tc>
          <w:tcPr>
            <w:tcW w:w="1402" w:type="dxa"/>
            <w:vAlign w:val="center"/>
          </w:tcPr>
          <w:p w14:paraId="04F8A25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14:paraId="657DE8C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14:paraId="09276A47">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14:paraId="02A8D32D">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14:paraId="746F64A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14:paraId="774FBB1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14:paraId="26958DE0">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14:paraId="4C002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4535088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N</w:t>
            </w:r>
          </w:p>
        </w:tc>
        <w:tc>
          <w:tcPr>
            <w:tcW w:w="1402" w:type="dxa"/>
            <w:vAlign w:val="center"/>
          </w:tcPr>
          <w:p w14:paraId="3A5FD74A">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972" w:type="dxa"/>
            <w:vAlign w:val="center"/>
          </w:tcPr>
          <w:p w14:paraId="4570E15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56" w:type="dxa"/>
            <w:vAlign w:val="center"/>
          </w:tcPr>
          <w:p w14:paraId="4906E5C8">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51" w:type="dxa"/>
            <w:vAlign w:val="center"/>
          </w:tcPr>
          <w:p w14:paraId="2386C93F">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063" w:type="dxa"/>
            <w:vAlign w:val="center"/>
          </w:tcPr>
          <w:p w14:paraId="06F9D401">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396" w:type="dxa"/>
            <w:vAlign w:val="center"/>
          </w:tcPr>
          <w:p w14:paraId="3A617A4B">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c>
          <w:tcPr>
            <w:tcW w:w="1169" w:type="dxa"/>
            <w:vAlign w:val="center"/>
          </w:tcPr>
          <w:p w14:paraId="3468787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4"/>
                <w:szCs w:val="24"/>
              </w:rPr>
            </w:pPr>
          </w:p>
        </w:tc>
      </w:tr>
      <w:tr w14:paraId="0689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310588F9">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4"/>
              </w:rPr>
            </w:pPr>
            <w:r>
              <w:rPr>
                <w:rFonts w:hint="eastAsia" w:ascii="仿宋" w:hAnsi="仿宋" w:eastAsia="仿宋" w:cs="仿宋"/>
                <w:kern w:val="0"/>
                <w:sz w:val="24"/>
                <w:szCs w:val="24"/>
              </w:rPr>
              <w:t>总价合计：</w:t>
            </w:r>
          </w:p>
        </w:tc>
        <w:tc>
          <w:tcPr>
            <w:tcW w:w="8509" w:type="dxa"/>
            <w:gridSpan w:val="7"/>
            <w:vAlign w:val="center"/>
          </w:tcPr>
          <w:p w14:paraId="381E6775">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28"/>
                <w:szCs w:val="24"/>
              </w:rPr>
            </w:pPr>
            <w:r>
              <w:rPr>
                <w:rFonts w:hint="eastAsia" w:ascii="仿宋" w:hAnsi="仿宋" w:eastAsia="仿宋" w:cs="仿宋"/>
                <w:kern w:val="0"/>
                <w:sz w:val="24"/>
                <w:szCs w:val="24"/>
              </w:rPr>
              <w:t>大写：               （￥         元）</w:t>
            </w:r>
          </w:p>
        </w:tc>
      </w:tr>
    </w:tbl>
    <w:p w14:paraId="078EEA85">
      <w:pPr>
        <w:spacing w:line="360" w:lineRule="auto"/>
        <w:ind w:firstLine="480" w:firstLineChars="200"/>
        <w:rPr>
          <w:rFonts w:hint="eastAsia" w:ascii="仿宋" w:hAnsi="仿宋" w:eastAsia="仿宋" w:cs="仿宋"/>
          <w:kern w:val="0"/>
          <w:sz w:val="24"/>
          <w:szCs w:val="24"/>
        </w:rPr>
      </w:pPr>
    </w:p>
    <w:p w14:paraId="53D4E08D">
      <w:pPr>
        <w:kinsoku w:val="0"/>
        <w:spacing w:line="360" w:lineRule="auto"/>
        <w:ind w:left="479" w:leftChars="100" w:hanging="239" w:hangingChars="99"/>
        <w:jc w:val="left"/>
        <w:rPr>
          <w:rFonts w:hint="eastAsia" w:ascii="仿宋" w:hAnsi="仿宋" w:eastAsia="仿宋" w:cs="仿宋"/>
          <w:sz w:val="24"/>
          <w:szCs w:val="24"/>
        </w:rPr>
      </w:pPr>
      <w:r>
        <w:rPr>
          <w:rFonts w:hint="eastAsia" w:ascii="仿宋" w:hAnsi="仿宋" w:eastAsia="仿宋" w:cs="仿宋"/>
          <w:b/>
          <w:sz w:val="24"/>
          <w:szCs w:val="24"/>
        </w:rPr>
        <w:t>注：</w:t>
      </w:r>
      <w:r>
        <w:rPr>
          <w:rFonts w:hint="eastAsia" w:ascii="仿宋" w:hAnsi="仿宋" w:eastAsia="仿宋" w:cs="仿宋"/>
          <w:sz w:val="24"/>
          <w:szCs w:val="24"/>
        </w:rPr>
        <w:t>1、如果不提供详细分项报价将视为没有实质性响应采购文件；</w:t>
      </w:r>
    </w:p>
    <w:p w14:paraId="76430863">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2、分项报价表列出报价的分项明细，明细合计应与</w:t>
      </w:r>
      <w:r>
        <w:rPr>
          <w:rFonts w:hint="eastAsia" w:ascii="仿宋" w:hAnsi="仿宋" w:eastAsia="仿宋" w:cs="仿宋"/>
          <w:sz w:val="24"/>
          <w:szCs w:val="24"/>
          <w:lang w:val="zh-CN"/>
        </w:rPr>
        <w:t>谈判报价</w:t>
      </w:r>
      <w:r>
        <w:rPr>
          <w:rFonts w:hint="eastAsia" w:ascii="仿宋" w:hAnsi="仿宋" w:eastAsia="仿宋" w:cs="仿宋"/>
          <w:sz w:val="24"/>
          <w:szCs w:val="24"/>
        </w:rPr>
        <w:t>一览表一致。</w:t>
      </w:r>
    </w:p>
    <w:p w14:paraId="06D266CC">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3、所有根据合同或其它原因应由供应商支付的税款和其它应交纳的费用都要包括在供应商提交的报价中；</w:t>
      </w:r>
    </w:p>
    <w:p w14:paraId="190D60B5">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4、应包含服务与货物运至最终目的地的运输、保险和伴随服务的其他所有费用。</w:t>
      </w:r>
    </w:p>
    <w:p w14:paraId="5F1C855B">
      <w:pPr>
        <w:kinsoku w:val="0"/>
        <w:spacing w:line="360" w:lineRule="auto"/>
        <w:ind w:firstLine="720" w:firstLineChars="30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5、本页无需填报，最后报价环节填报上传扫描件。</w:t>
      </w:r>
      <w:bookmarkStart w:id="2" w:name="_GoBack"/>
      <w:bookmarkEnd w:id="2"/>
    </w:p>
    <w:p w14:paraId="40C88E97">
      <w:pPr>
        <w:spacing w:line="360" w:lineRule="auto"/>
        <w:ind w:firstLine="482" w:firstLineChars="200"/>
        <w:rPr>
          <w:rFonts w:hint="eastAsia" w:ascii="仿宋" w:hAnsi="仿宋" w:eastAsia="仿宋" w:cs="仿宋"/>
          <w:b/>
          <w:sz w:val="24"/>
          <w:szCs w:val="24"/>
        </w:rPr>
      </w:pPr>
    </w:p>
    <w:p w14:paraId="25DFAC90">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1C5C88E9">
      <w:pPr>
        <w:widowControl/>
        <w:spacing w:line="360" w:lineRule="auto"/>
        <w:ind w:firstLine="480" w:firstLineChars="200"/>
        <w:rPr>
          <w:rFonts w:hint="eastAsia" w:ascii="仿宋" w:hAnsi="仿宋" w:eastAsia="仿宋" w:cs="仿宋"/>
          <w:kern w:val="0"/>
          <w:sz w:val="24"/>
          <w:szCs w:val="24"/>
        </w:rPr>
      </w:pPr>
    </w:p>
    <w:p w14:paraId="172955EF">
      <w:pPr>
        <w:pStyle w:val="3"/>
        <w:ind w:left="0" w:leftChars="0" w:firstLine="480" w:firstLineChars="200"/>
        <w:rPr>
          <w:rFonts w:hint="eastAsia"/>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（签字或盖章）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00000000"/>
    <w:rsid w:val="04AE18D1"/>
    <w:rsid w:val="08E753B1"/>
    <w:rsid w:val="1FE10954"/>
    <w:rsid w:val="20D9162C"/>
    <w:rsid w:val="24C3687B"/>
    <w:rsid w:val="359C6FC9"/>
    <w:rsid w:val="4A955C97"/>
    <w:rsid w:val="6C71066E"/>
    <w:rsid w:val="7BB6719D"/>
    <w:rsid w:val="7F332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3">
    <w:name w:val="Normal Indent"/>
    <w:basedOn w:val="1"/>
    <w:next w:val="4"/>
    <w:unhideWhenUsed/>
    <w:qFormat/>
    <w:uiPriority w:val="99"/>
    <w:pPr>
      <w:spacing w:line="300" w:lineRule="auto"/>
      <w:ind w:firstLine="420" w:firstLineChars="200"/>
    </w:pPr>
    <w:rPr>
      <w:rFonts w:ascii="Times New Roman"/>
      <w:kern w:val="2"/>
      <w:sz w:val="21"/>
      <w:szCs w:val="24"/>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1035</Words>
  <Characters>1038</Characters>
  <Lines>0</Lines>
  <Paragraphs>0</Paragraphs>
  <TotalTime>0</TotalTime>
  <ScaleCrop>false</ScaleCrop>
  <LinksUpToDate>false</LinksUpToDate>
  <CharactersWithSpaces>1169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2023-08-01T07:51:00Z</dcterms:created>
  <dc:creator>Administrator</dc:creator>
  <cp:lastModifiedBy>1</cp:lastModifiedBy>
  <dcterms:modified xsi:type="dcterms:W3CDTF">2025-06-27T12:06:18Z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8789EB4BA2644C2AA4802B66A614C5F9_12</vt:lpwstr>
  </property>
  <property fmtid="{D5CDD505-2E9C-101B-9397-08002B2CF9AE}" pid="4" name="KSOTemplateDocerSaveRecord">
    <vt:lpwstr>eyJoZGlkIjoiYWRjNjA3YjNkZTkyNDk4OTI5YWU2YmU2MzVkMmI4MTAiLCJ1c2VySWQiOiI0ODU3MDc4MjgifQ==</vt:lpwstr>
  </property>
</Properties>
</file>