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B546A">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b/>
          <w:bCs/>
          <w:kern w:val="0"/>
          <w:sz w:val="24"/>
          <w:szCs w:val="24"/>
        </w:rPr>
      </w:pPr>
      <w:r>
        <w:rPr>
          <w:rFonts w:hint="eastAsia" w:ascii="仿宋" w:hAnsi="仿宋" w:eastAsia="仿宋" w:cs="仿宋"/>
          <w:b/>
          <w:bCs/>
          <w:kern w:val="0"/>
          <w:sz w:val="28"/>
          <w:szCs w:val="28"/>
        </w:rPr>
        <w:t>供货服务方案</w:t>
      </w:r>
    </w:p>
    <w:p w14:paraId="286A95CA">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按照竞争性谈判文件的要求编制的谈判方案说明书，内容包括产品说明、组织供货和服务的详细说明。</w:t>
      </w:r>
      <w:r>
        <w:rPr>
          <w:rFonts w:hint="eastAsia" w:ascii="仿宋" w:hAnsi="仿宋" w:eastAsia="仿宋" w:cs="仿宋"/>
          <w:b/>
          <w:color w:val="auto"/>
          <w:sz w:val="24"/>
          <w:szCs w:val="24"/>
        </w:rPr>
        <w:t>至少应包括</w:t>
      </w:r>
      <w:r>
        <w:rPr>
          <w:rFonts w:hint="eastAsia" w:ascii="仿宋" w:hAnsi="仿宋" w:eastAsia="仿宋" w:cs="仿宋"/>
          <w:b/>
          <w:color w:val="auto"/>
          <w:sz w:val="24"/>
          <w:szCs w:val="24"/>
          <w:lang w:eastAsia="zh-CN"/>
        </w:rPr>
        <w:t>：</w:t>
      </w:r>
    </w:p>
    <w:p w14:paraId="43DB8203">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1、完成项目的技术方案，要求谈判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针对本项目的需求提出全面、完整的技术方案；</w:t>
      </w:r>
    </w:p>
    <w:p w14:paraId="11AED5F7">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2、</w:t>
      </w:r>
      <w:r>
        <w:rPr>
          <w:rFonts w:hint="eastAsia" w:ascii="仿宋" w:hAnsi="仿宋" w:eastAsia="仿宋" w:cs="仿宋"/>
          <w:color w:val="auto"/>
          <w:sz w:val="24"/>
          <w:lang w:eastAsia="zh-CN"/>
        </w:rPr>
        <w:t>产品来源渠道合法的证明文件（包括但不限于销售协议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代理协议</w:t>
      </w:r>
      <w:r>
        <w:rPr>
          <w:rFonts w:hint="eastAsia" w:ascii="仿宋" w:hAnsi="仿宋" w:eastAsia="仿宋" w:cs="仿宋"/>
          <w:color w:val="auto"/>
          <w:sz w:val="24"/>
          <w:lang w:val="en-US" w:eastAsia="zh-CN"/>
        </w:rPr>
        <w:t>/</w:t>
      </w:r>
      <w:r>
        <w:rPr>
          <w:rFonts w:hint="eastAsia" w:ascii="仿宋" w:hAnsi="仿宋" w:eastAsia="仿宋" w:cs="仿宋"/>
          <w:color w:val="auto"/>
          <w:sz w:val="24"/>
          <w:lang w:eastAsia="zh-CN"/>
        </w:rPr>
        <w:t>原厂授权等）；</w:t>
      </w:r>
    </w:p>
    <w:p w14:paraId="7E23C89B">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、服务范围和服务内容的详细说明；</w:t>
      </w:r>
    </w:p>
    <w:p w14:paraId="3FD67C77">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、质量保证措施、培训方案、售后服务方案、响应时间等。</w:t>
      </w:r>
    </w:p>
    <w:p w14:paraId="4EFDFAC4">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、提供的维保服务点的名称、地址、电话联系人、应在谈判文件中说明；</w:t>
      </w:r>
    </w:p>
    <w:p w14:paraId="07935228">
      <w:pPr>
        <w:keepNext w:val="0"/>
        <w:keepLines w:val="0"/>
        <w:pageBreakBefore w:val="0"/>
        <w:widowControl w:val="0"/>
        <w:kinsoku w:val="0"/>
        <w:wordWrap/>
        <w:overflowPunct/>
        <w:topLinePunct w:val="0"/>
        <w:autoSpaceDE/>
        <w:autoSpaceDN/>
        <w:bidi w:val="0"/>
        <w:adjustRightInd/>
        <w:snapToGrid/>
        <w:spacing w:line="480" w:lineRule="exact"/>
        <w:ind w:right="0" w:rightChars="0" w:firstLine="480" w:firstLineChars="200"/>
        <w:jc w:val="both"/>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、供应商服务承诺书；</w:t>
      </w:r>
    </w:p>
    <w:p w14:paraId="0EB47674">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、供应商认为有必要说明的问题。</w:t>
      </w:r>
    </w:p>
    <w:p w14:paraId="172955EF">
      <w:pPr>
        <w:rPr>
          <w:rFonts w:hint="eastAsia"/>
        </w:rPr>
      </w:pPr>
      <w:r>
        <w:rPr>
          <w:rFonts w:hint="eastAsia"/>
        </w:rPr>
        <w:br w:type="page"/>
      </w:r>
    </w:p>
    <w:p w14:paraId="6001445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附表1:</w:t>
      </w:r>
    </w:p>
    <w:p w14:paraId="5D5598C9">
      <w:pPr>
        <w:keepNext w:val="0"/>
        <w:keepLines w:val="0"/>
        <w:pageBreakBefore w:val="0"/>
        <w:widowControl w:val="0"/>
        <w:shd w:val="clear"/>
        <w:kinsoku/>
        <w:wordWrap/>
        <w:overflowPunct/>
        <w:topLinePunct w:val="0"/>
        <w:autoSpaceDE/>
        <w:autoSpaceDN/>
        <w:bidi w:val="0"/>
        <w:adjustRightInd/>
        <w:snapToGrid/>
        <w:spacing w:after="120"/>
        <w:ind w:firstLine="0" w:firstLineChars="0"/>
        <w:jc w:val="center"/>
        <w:textAlignment w:val="auto"/>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供货</w:t>
      </w:r>
      <w:bookmarkStart w:id="0" w:name="_GoBack"/>
      <w:bookmarkEnd w:id="0"/>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服务应答</w:t>
      </w:r>
      <w:r>
        <w:rPr>
          <w:rFonts w:hint="eastAsia" w:ascii="仿宋" w:hAnsi="仿宋" w:eastAsia="仿宋" w:cs="仿宋"/>
          <w:color w:val="000000" w:themeColor="text1"/>
          <w:sz w:val="32"/>
          <w:szCs w:val="32"/>
          <w:highlight w:val="none"/>
          <w:u w:val="none"/>
          <w14:textFill>
            <w14:solidFill>
              <w14:schemeClr w14:val="tx1"/>
            </w14:solidFill>
          </w14:textFill>
        </w:rPr>
        <w:t>表</w:t>
      </w:r>
    </w:p>
    <w:p w14:paraId="2FEB29BB">
      <w:pPr>
        <w:shd w:val="clear"/>
        <w:spacing w:after="120"/>
        <w:rPr>
          <w:rFonts w:hint="eastAsia" w:ascii="仿宋" w:hAnsi="仿宋" w:eastAsia="仿宋" w:cs="仿宋"/>
          <w:color w:val="000000" w:themeColor="text1"/>
          <w:highlight w:val="none"/>
          <w:u w:val="none"/>
          <w14:textFill>
            <w14:solidFill>
              <w14:schemeClr w14:val="tx1"/>
            </w14:solidFill>
          </w14:textFill>
        </w:rPr>
      </w:pPr>
    </w:p>
    <w:tbl>
      <w:tblPr>
        <w:tblStyle w:val="5"/>
        <w:tblW w:w="915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28" w:type="dxa"/>
          <w:bottom w:w="0" w:type="dxa"/>
          <w:right w:w="28" w:type="dxa"/>
        </w:tblCellMar>
      </w:tblPr>
      <w:tblGrid>
        <w:gridCol w:w="1388"/>
        <w:gridCol w:w="2507"/>
        <w:gridCol w:w="2213"/>
        <w:gridCol w:w="1565"/>
        <w:gridCol w:w="1479"/>
      </w:tblGrid>
      <w:tr w14:paraId="2B9E121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1728" w:hRule="atLeast"/>
          <w:jc w:val="center"/>
        </w:trPr>
        <w:tc>
          <w:tcPr>
            <w:tcW w:w="1388" w:type="dxa"/>
            <w:tcBorders>
              <w:tl2br w:val="nil"/>
              <w:tr2bl w:val="nil"/>
            </w:tcBorders>
            <w:vAlign w:val="center"/>
          </w:tcPr>
          <w:p w14:paraId="523072D3">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序号</w:t>
            </w:r>
          </w:p>
        </w:tc>
        <w:tc>
          <w:tcPr>
            <w:tcW w:w="2507" w:type="dxa"/>
            <w:tcBorders>
              <w:tl2br w:val="nil"/>
              <w:tr2bl w:val="nil"/>
            </w:tcBorders>
            <w:vAlign w:val="center"/>
          </w:tcPr>
          <w:p w14:paraId="7848D1A9">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default"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谈判服务要求</w:t>
            </w:r>
          </w:p>
        </w:tc>
        <w:tc>
          <w:tcPr>
            <w:tcW w:w="2213" w:type="dxa"/>
            <w:tcBorders>
              <w:tl2br w:val="nil"/>
              <w:tr2bl w:val="nil"/>
            </w:tcBorders>
            <w:vAlign w:val="center"/>
          </w:tcPr>
          <w:p w14:paraId="016B385F">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default"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谈判服务响应</w:t>
            </w:r>
          </w:p>
        </w:tc>
        <w:tc>
          <w:tcPr>
            <w:tcW w:w="1565" w:type="dxa"/>
            <w:tcBorders>
              <w:tl2br w:val="nil"/>
              <w:tr2bl w:val="nil"/>
            </w:tcBorders>
            <w:vAlign w:val="center"/>
          </w:tcPr>
          <w:p w14:paraId="47341DD0">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偏离说明</w:t>
            </w:r>
          </w:p>
        </w:tc>
        <w:tc>
          <w:tcPr>
            <w:tcW w:w="1479" w:type="dxa"/>
            <w:tcBorders>
              <w:tl2br w:val="nil"/>
              <w:tr2bl w:val="nil"/>
            </w:tcBorders>
            <w:vAlign w:val="center"/>
          </w:tcPr>
          <w:p w14:paraId="061151B0">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备注</w:t>
            </w:r>
          </w:p>
        </w:tc>
      </w:tr>
      <w:tr w14:paraId="17CDC83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69" w:hRule="atLeast"/>
          <w:jc w:val="center"/>
        </w:trPr>
        <w:tc>
          <w:tcPr>
            <w:tcW w:w="1388" w:type="dxa"/>
            <w:tcBorders>
              <w:tl2br w:val="nil"/>
              <w:tr2bl w:val="nil"/>
            </w:tcBorders>
            <w:vAlign w:val="center"/>
          </w:tcPr>
          <w:p w14:paraId="2BF59EDF">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1</w:t>
            </w:r>
          </w:p>
        </w:tc>
        <w:tc>
          <w:tcPr>
            <w:tcW w:w="2507" w:type="dxa"/>
            <w:tcBorders>
              <w:tl2br w:val="nil"/>
              <w:tr2bl w:val="nil"/>
            </w:tcBorders>
            <w:vAlign w:val="center"/>
          </w:tcPr>
          <w:p w14:paraId="6BA95DF3">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适合小学阶段师生阅读书籍，按类别及需求配置，需要后续录入系统，书商标标记</w:t>
            </w:r>
          </w:p>
        </w:tc>
        <w:tc>
          <w:tcPr>
            <w:tcW w:w="2213" w:type="dxa"/>
            <w:tcBorders>
              <w:tl2br w:val="nil"/>
              <w:tr2bl w:val="nil"/>
            </w:tcBorders>
            <w:vAlign w:val="center"/>
          </w:tcPr>
          <w:p w14:paraId="23170BF8">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565" w:type="dxa"/>
            <w:tcBorders>
              <w:tl2br w:val="nil"/>
              <w:tr2bl w:val="nil"/>
            </w:tcBorders>
            <w:vAlign w:val="center"/>
          </w:tcPr>
          <w:p w14:paraId="2C54D7BE">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479" w:type="dxa"/>
            <w:tcBorders>
              <w:tl2br w:val="nil"/>
              <w:tr2bl w:val="nil"/>
            </w:tcBorders>
            <w:vAlign w:val="center"/>
          </w:tcPr>
          <w:p w14:paraId="745A7F61">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r>
      <w:tr w14:paraId="3218D7B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69" w:hRule="atLeast"/>
          <w:jc w:val="center"/>
        </w:trPr>
        <w:tc>
          <w:tcPr>
            <w:tcW w:w="1388" w:type="dxa"/>
            <w:tcBorders>
              <w:tl2br w:val="nil"/>
              <w:tr2bl w:val="nil"/>
            </w:tcBorders>
            <w:vAlign w:val="center"/>
          </w:tcPr>
          <w:p w14:paraId="1F12B5BD">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2</w:t>
            </w:r>
          </w:p>
        </w:tc>
        <w:tc>
          <w:tcPr>
            <w:tcW w:w="2507" w:type="dxa"/>
            <w:tcBorders>
              <w:tl2br w:val="nil"/>
              <w:tr2bl w:val="nil"/>
            </w:tcBorders>
            <w:vAlign w:val="center"/>
          </w:tcPr>
          <w:p w14:paraId="3A965DC8">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西安市雁塔区第十小学图书馆初步建设于2018年，现需新采购适合小学生心智发展水平、认知理解能力、格调高尚、思想健康的纸质图书一批，采购数量2万册</w:t>
            </w:r>
          </w:p>
        </w:tc>
        <w:tc>
          <w:tcPr>
            <w:tcW w:w="2213" w:type="dxa"/>
            <w:tcBorders>
              <w:tl2br w:val="nil"/>
              <w:tr2bl w:val="nil"/>
            </w:tcBorders>
            <w:vAlign w:val="center"/>
          </w:tcPr>
          <w:p w14:paraId="4B1FD16B">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565" w:type="dxa"/>
            <w:tcBorders>
              <w:tl2br w:val="nil"/>
              <w:tr2bl w:val="nil"/>
            </w:tcBorders>
            <w:vAlign w:val="center"/>
          </w:tcPr>
          <w:p w14:paraId="58696496">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479" w:type="dxa"/>
            <w:tcBorders>
              <w:tl2br w:val="nil"/>
              <w:tr2bl w:val="nil"/>
            </w:tcBorders>
            <w:vAlign w:val="center"/>
          </w:tcPr>
          <w:p w14:paraId="6D318787">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r>
      <w:tr w14:paraId="09CAAF3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69" w:hRule="atLeast"/>
          <w:jc w:val="center"/>
        </w:trPr>
        <w:tc>
          <w:tcPr>
            <w:tcW w:w="1388" w:type="dxa"/>
            <w:tcBorders>
              <w:tl2br w:val="nil"/>
              <w:tr2bl w:val="nil"/>
            </w:tcBorders>
            <w:vAlign w:val="center"/>
          </w:tcPr>
          <w:p w14:paraId="2BF80CEA">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3</w:t>
            </w:r>
          </w:p>
        </w:tc>
        <w:tc>
          <w:tcPr>
            <w:tcW w:w="2507" w:type="dxa"/>
            <w:tcBorders>
              <w:tl2br w:val="nil"/>
              <w:tr2bl w:val="nil"/>
            </w:tcBorders>
            <w:vAlign w:val="center"/>
          </w:tcPr>
          <w:p w14:paraId="1BDE34C1">
            <w:pPr>
              <w:keepNext w:val="0"/>
              <w:keepLines w:val="0"/>
              <w:pageBreakBefore w:val="0"/>
              <w:widowControl w:val="0"/>
              <w:shd w:val="clear"/>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图书要求：</w:t>
            </w:r>
          </w:p>
          <w:p w14:paraId="7CD8CCF9">
            <w:pPr>
              <w:keepNext w:val="0"/>
              <w:keepLines w:val="0"/>
              <w:pageBreakBefore w:val="0"/>
              <w:widowControl w:val="0"/>
              <w:shd w:val="clear"/>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1、供应商保证提供的图书是按照采购人目录订单提供图书。</w:t>
            </w:r>
          </w:p>
          <w:p w14:paraId="4D29C384">
            <w:pPr>
              <w:keepNext w:val="0"/>
              <w:keepLines w:val="0"/>
              <w:pageBreakBefore w:val="0"/>
              <w:widowControl w:val="0"/>
              <w:shd w:val="clear"/>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所有订购图书由中标供应商送到采购人指定馆内地点，图书编目、图书加工、图书上架、及原有图书管理系统提升改造费用及运杂费等全部费用包含在合同价款内，在整体项目交采购人使用之前所发生的风险全部由供应商承担。</w:t>
            </w:r>
          </w:p>
          <w:p w14:paraId="53F70096">
            <w:pPr>
              <w:keepNext w:val="0"/>
              <w:keepLines w:val="0"/>
              <w:pageBreakBefore w:val="0"/>
              <w:widowControl w:val="0"/>
              <w:shd w:val="clear"/>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每件图书外包装使用防潮牛皮纸，并注明发货单位、发货批次、册数、码洋，同时清楚标明“防潮”字样。供应商须提供总明细单和分包明细单（纸质和电子版各一份），总明细单由采购人单独签收，分包明细单（纸质）随货物打包送至采购人指定地点（电子版发送至采购人制定邮箱）。总明细单要求列出供应商共计发货的批数，每批图书的总包数及总种数、总册数、总码洋；分包明细单要求列出此包图书的种数、册数、码洋等信息。</w:t>
            </w:r>
          </w:p>
          <w:p w14:paraId="346C4EFB">
            <w:pPr>
              <w:keepNext w:val="0"/>
              <w:keepLines w:val="0"/>
              <w:pageBreakBefore w:val="0"/>
              <w:widowControl w:val="0"/>
              <w:shd w:val="clear"/>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同时需要对2万册图书进行编目上架及图书管理系统提升改造等要求，在编目、加工、上架及原有系统对接使用过程中，所遇一切问题，均有供应商自行处理解决；（编目要求：图书编目加工书目数据应包含书名、作者、ISBN、出版社、价钱、出版时间、页码、装帧、开本大小、内容简介、分类号等字段项目，提供的数据能在配套的图书文献管理中无障碍使用；图书物理加工，采用和原图书馆统一规格的书标、书标保护膜、条形码、馆藏章、RFID，排架规则、粘贴位置、加工标准等均要统一规范；图书分类上架 所有图书完成图书编目著录及物理加工后，进行重新排架、上架工作；排架、上架准确，严格按照图书五大类（二十二小类）分类上架；确保达到国家验收标准）；5.同时需要新增200张借阅卡；维修、更换在提升改造过程中发现的损坏设备。</w:t>
            </w:r>
          </w:p>
        </w:tc>
        <w:tc>
          <w:tcPr>
            <w:tcW w:w="2213" w:type="dxa"/>
            <w:tcBorders>
              <w:tl2br w:val="nil"/>
              <w:tr2bl w:val="nil"/>
            </w:tcBorders>
            <w:vAlign w:val="center"/>
          </w:tcPr>
          <w:p w14:paraId="734D8D53">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565" w:type="dxa"/>
            <w:tcBorders>
              <w:tl2br w:val="nil"/>
              <w:tr2bl w:val="nil"/>
            </w:tcBorders>
            <w:vAlign w:val="center"/>
          </w:tcPr>
          <w:p w14:paraId="2D10450F">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479" w:type="dxa"/>
            <w:tcBorders>
              <w:tl2br w:val="nil"/>
              <w:tr2bl w:val="nil"/>
            </w:tcBorders>
            <w:vAlign w:val="center"/>
          </w:tcPr>
          <w:p w14:paraId="44FF1005">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r>
      <w:tr w14:paraId="2D21853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69" w:hRule="atLeast"/>
          <w:jc w:val="center"/>
        </w:trPr>
        <w:tc>
          <w:tcPr>
            <w:tcW w:w="1388" w:type="dxa"/>
            <w:tcBorders>
              <w:tl2br w:val="nil"/>
              <w:tr2bl w:val="nil"/>
            </w:tcBorders>
            <w:vAlign w:val="center"/>
          </w:tcPr>
          <w:p w14:paraId="793CF99E">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4</w:t>
            </w:r>
          </w:p>
        </w:tc>
        <w:tc>
          <w:tcPr>
            <w:tcW w:w="2507" w:type="dxa"/>
            <w:tcBorders>
              <w:tl2br w:val="nil"/>
              <w:tr2bl w:val="nil"/>
            </w:tcBorders>
            <w:vAlign w:val="center"/>
          </w:tcPr>
          <w:p w14:paraId="51CD2554">
            <w:pPr>
              <w:keepNext w:val="0"/>
              <w:keepLines w:val="0"/>
              <w:pageBreakBefore w:val="0"/>
              <w:widowControl w:val="0"/>
              <w:shd w:val="clear"/>
              <w:kinsoku/>
              <w:wordWrap/>
              <w:overflowPunct/>
              <w:topLinePunct w:val="0"/>
              <w:autoSpaceDE/>
              <w:autoSpaceDN/>
              <w:bidi w:val="0"/>
              <w:adjustRightInd/>
              <w:snapToGrid/>
              <w:ind w:firstLine="0" w:firstLineChars="0"/>
              <w:jc w:val="left"/>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具体书目录详见附件</w:t>
            </w:r>
          </w:p>
        </w:tc>
        <w:tc>
          <w:tcPr>
            <w:tcW w:w="2213" w:type="dxa"/>
            <w:tcBorders>
              <w:tl2br w:val="nil"/>
              <w:tr2bl w:val="nil"/>
            </w:tcBorders>
            <w:vAlign w:val="center"/>
          </w:tcPr>
          <w:p w14:paraId="3D951F00">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565" w:type="dxa"/>
            <w:tcBorders>
              <w:tl2br w:val="nil"/>
              <w:tr2bl w:val="nil"/>
            </w:tcBorders>
            <w:vAlign w:val="center"/>
          </w:tcPr>
          <w:p w14:paraId="65F53307">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479" w:type="dxa"/>
            <w:tcBorders>
              <w:tl2br w:val="nil"/>
              <w:tr2bl w:val="nil"/>
            </w:tcBorders>
            <w:vAlign w:val="center"/>
          </w:tcPr>
          <w:p w14:paraId="7B08EF1F">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r>
      <w:tr w14:paraId="12E1582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74" w:hRule="atLeast"/>
          <w:jc w:val="center"/>
        </w:trPr>
        <w:tc>
          <w:tcPr>
            <w:tcW w:w="1388" w:type="dxa"/>
            <w:tcBorders>
              <w:tl2br w:val="nil"/>
              <w:tr2bl w:val="nil"/>
            </w:tcBorders>
            <w:vAlign w:val="center"/>
          </w:tcPr>
          <w:p w14:paraId="0A80849F">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5</w:t>
            </w:r>
          </w:p>
        </w:tc>
        <w:tc>
          <w:tcPr>
            <w:tcW w:w="2507" w:type="dxa"/>
            <w:tcBorders>
              <w:tl2br w:val="nil"/>
              <w:tr2bl w:val="nil"/>
            </w:tcBorders>
            <w:vAlign w:val="center"/>
          </w:tcPr>
          <w:p w14:paraId="26DC185D">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2213" w:type="dxa"/>
            <w:tcBorders>
              <w:tl2br w:val="nil"/>
              <w:tr2bl w:val="nil"/>
            </w:tcBorders>
            <w:vAlign w:val="center"/>
          </w:tcPr>
          <w:p w14:paraId="6B5C4EBA">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565" w:type="dxa"/>
            <w:tcBorders>
              <w:tl2br w:val="nil"/>
              <w:tr2bl w:val="nil"/>
            </w:tcBorders>
            <w:vAlign w:val="center"/>
          </w:tcPr>
          <w:p w14:paraId="7A80D9AF">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c>
          <w:tcPr>
            <w:tcW w:w="1479" w:type="dxa"/>
            <w:tcBorders>
              <w:tl2br w:val="nil"/>
              <w:tr2bl w:val="nil"/>
            </w:tcBorders>
            <w:vAlign w:val="center"/>
          </w:tcPr>
          <w:p w14:paraId="6DC782D7">
            <w:pPr>
              <w:keepNext w:val="0"/>
              <w:keepLines w:val="0"/>
              <w:pageBreakBefore w:val="0"/>
              <w:widowControl w:val="0"/>
              <w:shd w:val="clear"/>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000000" w:themeColor="text1"/>
                <w:sz w:val="24"/>
                <w:highlight w:val="none"/>
                <w:u w:val="none"/>
                <w14:textFill>
                  <w14:solidFill>
                    <w14:schemeClr w14:val="tx1"/>
                  </w14:solidFill>
                </w14:textFill>
              </w:rPr>
            </w:pPr>
          </w:p>
        </w:tc>
      </w:tr>
    </w:tbl>
    <w:p w14:paraId="358B45CB">
      <w:pPr>
        <w:shd w:val="clear"/>
        <w:rPr>
          <w:rFonts w:hint="eastAsia" w:ascii="仿宋" w:hAnsi="仿宋" w:eastAsia="仿宋" w:cs="仿宋"/>
          <w:color w:val="000000" w:themeColor="text1"/>
          <w:highlight w:val="none"/>
          <w:u w:val="none"/>
          <w14:textFill>
            <w14:solidFill>
              <w14:schemeClr w14:val="tx1"/>
            </w14:solidFill>
          </w14:textFill>
        </w:rPr>
      </w:pPr>
    </w:p>
    <w:p w14:paraId="7F1DB6E3">
      <w:pPr>
        <w:shd w:val="clear"/>
        <w:spacing w:line="520" w:lineRule="exact"/>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(盖单位公章)</w:t>
      </w:r>
    </w:p>
    <w:p w14:paraId="3C5BE692">
      <w:pPr>
        <w:shd w:val="clear"/>
        <w:spacing w:line="500" w:lineRule="exact"/>
        <w:ind w:firstLine="496" w:firstLineChars="200"/>
        <w:jc w:val="left"/>
        <w:rPr>
          <w:rFonts w:hint="eastAsia" w:ascii="仿宋" w:hAnsi="仿宋" w:eastAsia="仿宋" w:cs="仿宋"/>
          <w:color w:val="000000" w:themeColor="text1"/>
          <w:spacing w:val="4"/>
          <w:sz w:val="24"/>
          <w:highlight w:val="none"/>
          <w:u w:val="none"/>
          <w14:textFill>
            <w14:solidFill>
              <w14:schemeClr w14:val="tx1"/>
            </w14:solidFill>
          </w14:textFill>
        </w:rPr>
      </w:pPr>
    </w:p>
    <w:p w14:paraId="677F5799">
      <w:pPr>
        <w:shd w:val="clear"/>
        <w:spacing w:line="500" w:lineRule="exact"/>
        <w:ind w:firstLine="496" w:firstLineChars="200"/>
        <w:jc w:val="left"/>
        <w:rPr>
          <w:rFonts w:hint="eastAsia" w:ascii="仿宋" w:hAnsi="仿宋" w:eastAsia="仿宋" w:cs="仿宋"/>
          <w:color w:val="000000" w:themeColor="text1"/>
          <w:spacing w:val="4"/>
          <w:sz w:val="24"/>
          <w:highlight w:val="none"/>
          <w:u w:val="none"/>
          <w14:textFill>
            <w14:solidFill>
              <w14:schemeClr w14:val="tx1"/>
            </w14:solidFill>
          </w14:textFill>
        </w:rPr>
      </w:pPr>
      <w:r>
        <w:rPr>
          <w:rFonts w:hint="eastAsia" w:ascii="仿宋" w:hAnsi="仿宋" w:eastAsia="仿宋" w:cs="仿宋"/>
          <w:color w:val="000000" w:themeColor="text1"/>
          <w:spacing w:val="4"/>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pacing w:val="4"/>
          <w:sz w:val="24"/>
          <w:highlight w:val="none"/>
          <w:u w:val="single"/>
          <w14:textFill>
            <w14:solidFill>
              <w14:schemeClr w14:val="tx1"/>
            </w14:solidFill>
          </w14:textFill>
        </w:rPr>
        <w:t xml:space="preserve">     </w:t>
      </w:r>
      <w:r>
        <w:rPr>
          <w:rFonts w:hint="eastAsia" w:ascii="仿宋" w:hAnsi="仿宋" w:eastAsia="仿宋" w:cs="仿宋"/>
          <w:color w:val="000000" w:themeColor="text1"/>
          <w:spacing w:val="4"/>
          <w:sz w:val="24"/>
          <w:highlight w:val="none"/>
          <w:u w:val="none"/>
          <w14:textFill>
            <w14:solidFill>
              <w14:schemeClr w14:val="tx1"/>
            </w14:solidFill>
          </w14:textFill>
        </w:rPr>
        <w:t>(签字或盖章)</w:t>
      </w:r>
    </w:p>
    <w:p w14:paraId="0420FA30">
      <w:pPr>
        <w:shd w:val="clear"/>
        <w:spacing w:line="520" w:lineRule="exact"/>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7A7329B0">
      <w:pPr>
        <w:shd w:val="clear"/>
        <w:spacing w:line="520" w:lineRule="exact"/>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095740B1">
      <w:pPr>
        <w:shd w:val="clear"/>
        <w:adjustRightInd w:val="0"/>
        <w:snapToGrid w:val="0"/>
        <w:spacing w:line="440" w:lineRule="exact"/>
        <w:ind w:left="137" w:leftChars="57" w:firstLine="1446" w:firstLineChars="600"/>
        <w:rPr>
          <w:rFonts w:hint="eastAsia" w:ascii="仿宋" w:hAnsi="仿宋" w:eastAsia="仿宋" w:cs="仿宋"/>
          <w:b/>
          <w:bCs/>
          <w:color w:val="000000" w:themeColor="text1"/>
          <w:sz w:val="24"/>
          <w:highlight w:val="none"/>
          <w:u w:val="none"/>
          <w14:textFill>
            <w14:solidFill>
              <w14:schemeClr w14:val="tx1"/>
            </w14:solidFill>
          </w14:textFill>
        </w:rPr>
      </w:pPr>
    </w:p>
    <w:p w14:paraId="6FDAB1DE">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注:1</w:t>
      </w:r>
      <w:r>
        <w:rPr>
          <w:rFonts w:hint="eastAsia" w:ascii="仿宋" w:hAnsi="仿宋" w:eastAsia="仿宋" w:cs="仿宋"/>
          <w:color w:val="000000" w:themeColor="text1"/>
          <w:sz w:val="24"/>
          <w:szCs w:val="24"/>
          <w:highlight w:val="none"/>
          <w:u w:val="none"/>
          <w:lang w:eastAsia="zh-CN"/>
          <w14:textFill>
            <w14:solidFill>
              <w14:schemeClr w14:val="tx1"/>
            </w14:solidFill>
          </w14:textFill>
        </w:rPr>
        <w:t>､供应商</w:t>
      </w:r>
      <w:r>
        <w:rPr>
          <w:rFonts w:hint="eastAsia" w:ascii="仿宋" w:hAnsi="仿宋" w:eastAsia="仿宋" w:cs="仿宋"/>
          <w:color w:val="000000" w:themeColor="text1"/>
          <w:sz w:val="24"/>
          <w:szCs w:val="24"/>
          <w:highlight w:val="none"/>
          <w:u w:val="none"/>
          <w14:textFill>
            <w14:solidFill>
              <w14:schemeClr w14:val="tx1"/>
            </w14:solidFill>
          </w14:textFill>
        </w:rPr>
        <w:t>将</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谈判</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文件</w:t>
      </w:r>
      <w:r>
        <w:rPr>
          <w:rFonts w:hint="eastAsia" w:ascii="仿宋" w:hAnsi="仿宋" w:eastAsia="仿宋" w:cs="仿宋"/>
          <w:color w:val="000000" w:themeColor="text1"/>
          <w:sz w:val="24"/>
          <w:szCs w:val="24"/>
          <w:highlight w:val="none"/>
          <w:u w:val="none"/>
          <w14:textFill>
            <w14:solidFill>
              <w14:schemeClr w14:val="tx1"/>
            </w14:solidFill>
          </w14:textFill>
        </w:rPr>
        <w:t>中第</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三</w:t>
      </w:r>
      <w:r>
        <w:rPr>
          <w:rFonts w:hint="eastAsia" w:ascii="仿宋" w:hAnsi="仿宋" w:eastAsia="仿宋" w:cs="仿宋"/>
          <w:color w:val="000000" w:themeColor="text1"/>
          <w:sz w:val="24"/>
          <w:szCs w:val="24"/>
          <w:highlight w:val="none"/>
          <w:u w:val="none"/>
          <w14:textFill>
            <w14:solidFill>
              <w14:schemeClr w14:val="tx1"/>
            </w14:solidFill>
          </w14:textFill>
        </w:rPr>
        <w:t>章</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谈判</w:t>
      </w:r>
      <w:r>
        <w:rPr>
          <w:rFonts w:hint="eastAsia" w:ascii="仿宋" w:hAnsi="仿宋" w:eastAsia="仿宋" w:cs="仿宋"/>
          <w:color w:val="000000" w:themeColor="text1"/>
          <w:sz w:val="24"/>
          <w:szCs w:val="24"/>
          <w:highlight w:val="none"/>
          <w:u w:val="none"/>
          <w14:textFill>
            <w14:solidFill>
              <w14:schemeClr w14:val="tx1"/>
            </w14:solidFill>
          </w14:textFill>
        </w:rPr>
        <w:t>项目技术､服务､商务及其他要求</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的</w:t>
      </w:r>
      <w:r>
        <w:rPr>
          <w:rFonts w:hint="eastAsia" w:ascii="仿宋" w:hAnsi="仿宋" w:eastAsia="仿宋" w:cs="仿宋"/>
          <w:color w:val="000000" w:themeColor="text1"/>
          <w:sz w:val="24"/>
          <w:szCs w:val="24"/>
          <w:highlight w:val="none"/>
          <w:u w:val="none"/>
          <w14:textFill>
            <w14:solidFill>
              <w14:schemeClr w14:val="tx1"/>
            </w14:solidFill>
          </w14:textFill>
        </w:rPr>
        <w:t>要求事项列入此表｡</w:t>
      </w:r>
    </w:p>
    <w:p w14:paraId="4AD1D74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24"/>
          <w:szCs w:val="24"/>
          <w:highlight w:val="none"/>
          <w:u w:val="none"/>
          <w:lang w:eastAsia="zh-CN"/>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2</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､按照服务要求的顺序对应填写｡</w:t>
      </w:r>
    </w:p>
    <w:p w14:paraId="00EE7578">
      <w:pPr>
        <w:pStyle w:val="4"/>
        <w:ind w:left="0" w:leftChars="0" w:firstLine="480" w:firstLineChars="200"/>
        <w:rPr>
          <w:rFonts w:hint="eastAsia"/>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3､供应商必须据实填写,不得虚假填写,否则将取消其</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谈判</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或成交资格</w:t>
      </w:r>
      <w:r>
        <w:rPr>
          <w:rFonts w:hint="eastAsia" w:ascii="仿宋" w:hAnsi="仿宋" w:eastAsia="仿宋" w:cs="仿宋"/>
          <w:color w:val="000000" w:themeColor="text1"/>
          <w:sz w:val="24"/>
          <w:szCs w:val="24"/>
          <w:highlight w:val="none"/>
          <w:u w:val="none"/>
          <w14:textFill>
            <w14:solidFill>
              <w14:schemeClr w14:val="tx1"/>
            </w14:solidFill>
          </w14:textFill>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00000000"/>
    <w:rsid w:val="02F079B0"/>
    <w:rsid w:val="08E753B1"/>
    <w:rsid w:val="1FE10954"/>
    <w:rsid w:val="2C736DD8"/>
    <w:rsid w:val="4A955C97"/>
    <w:rsid w:val="5866766D"/>
    <w:rsid w:val="6AC41FD2"/>
    <w:rsid w:val="6C71066E"/>
    <w:rsid w:val="73D20D56"/>
    <w:rsid w:val="7BB6719D"/>
    <w:rsid w:val="7F332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w:basedOn w:val="1"/>
    <w:next w:val="1"/>
    <w:qFormat/>
    <w:uiPriority w:val="99"/>
    <w:pPr>
      <w:jc w:val="left"/>
    </w:pPr>
    <w:rPr>
      <w:rFonts w:ascii="Copperplate Gothic Bold" w:hAnsi="Copperplate Gothic Bold"/>
      <w:sz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1035</Words>
  <Characters>1038</Characters>
  <Lines>0</Lines>
  <Paragraphs>0</Paragraphs>
  <TotalTime>2</TotalTime>
  <ScaleCrop>false</ScaleCrop>
  <LinksUpToDate>false</LinksUpToDate>
  <CharactersWithSpaces>1169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2023-08-01T07:51:00Z</dcterms:created>
  <dc:creator>Administrator</dc:creator>
  <cp:lastModifiedBy>1</cp:lastModifiedBy>
  <dcterms:modified xsi:type="dcterms:W3CDTF">2025-06-27T11:47:24Z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8789EB4BA2644C2AA4802B66A614C5F9_12</vt:lpwstr>
  </property>
  <property fmtid="{D5CDD505-2E9C-101B-9397-08002B2CF9AE}" pid="4" name="KSOTemplateDocerSaveRecord">
    <vt:lpwstr>eyJoZGlkIjoiYWRjNjA3YjNkZTkyNDk4OTI5YWU2YmU2MzVkMmI4MTAiLCJ1c2VySWQiOiI0ODU3MDc4MjgifQ==</vt:lpwstr>
  </property>
</Properties>
</file>