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版本号：ZHPM-ZC-2520620250604001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办公用房物业管理服务项目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ZHPM-ZC-25206</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办公用房物业管理服务项目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办公用房物业管理服务项目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采购内容:物业管理服务主要包括：客户服务、环境维护、公共秩序维护、设施设备维护、运行及物业档案资料管理等内容；主要功能或目标:办公用房物业服务管理；需满足的要求:满足办公需求。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采购包1（办公用房物业管理服务项目）：属于专门面向中小企业采购。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1、供应商身份证明：在中华人民共和国境内注册，依法取得并有效存续的营业执照（含电子营业执照）/事业单位法人证书/民办非企业单位登记证书/非企业专业服务机构执业许可证/自然人的身份证明。</w:t>
      </w:r>
    </w:p>
    <w:p>
      <w:pPr>
        <w:pStyle w:val="null3"/>
      </w:pPr>
      <w:r>
        <w:rPr>
          <w:rFonts w:ascii="仿宋_GB2312" w:hAnsi="仿宋_GB2312" w:cs="仿宋_GB2312" w:eastAsia="仿宋_GB2312"/>
        </w:rPr>
        <w:t>2、企业财务状况：提供具有财务审计资质的单位出具经审计的2022年度或2023年度或2024年度财务报告；或在开标日期前6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3、履行合同所必需的设备和专业技术能力：具有履行合同所必需的设备和专业技术能力（提供承诺函）。</w:t>
      </w:r>
    </w:p>
    <w:p>
      <w:pPr>
        <w:pStyle w:val="null3"/>
      </w:pPr>
      <w:r>
        <w:rPr>
          <w:rFonts w:ascii="仿宋_GB2312" w:hAnsi="仿宋_GB2312" w:cs="仿宋_GB2312" w:eastAsia="仿宋_GB2312"/>
        </w:rPr>
        <w:t>4、依法缴纳税收的良好记录：提供依法缴纳税收的良好记录，缴费所属日期为磋商截止时间前6个月内任一月份（磋商截止时间当月不计入）的增值税（或企业所得税）缴费凭据或纳税的银行转账汇款单、对账单等判定/在法规范围内不需提供的应出具书面说明和证明文件；军队单位不作要求。</w:t>
      </w:r>
    </w:p>
    <w:p>
      <w:pPr>
        <w:pStyle w:val="null3"/>
      </w:pPr>
      <w:r>
        <w:rPr>
          <w:rFonts w:ascii="仿宋_GB2312" w:hAnsi="仿宋_GB2312" w:cs="仿宋_GB2312" w:eastAsia="仿宋_GB2312"/>
        </w:rPr>
        <w:t>5、依法缴纳社会保障资金的良好记录：提供依法缴纳社会保障资金的良好记录，缴费所属日期为投标截止时间前6个月内任一月份（投标截止时间当月不计入）的根据银行转账汇款单或社保部门出具的缴纳社会保障金的凭证判定/在法规范围内不需提供的应出具书面说明和证明文件。</w:t>
      </w:r>
    </w:p>
    <w:p>
      <w:pPr>
        <w:pStyle w:val="null3"/>
      </w:pPr>
      <w:r>
        <w:rPr>
          <w:rFonts w:ascii="仿宋_GB2312" w:hAnsi="仿宋_GB2312" w:cs="仿宋_GB2312" w:eastAsia="仿宋_GB2312"/>
        </w:rPr>
        <w:t>6、供应商信誉：参加本次政府采购活动前3年内在经营活动中没有重大违法记录，以及未被列入失信被执行人、重大税收违法案件当事人名单、政府采购严重违法失信行为记录名单的书面声明。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法定代表人（主要负责人）或委托代理人授权：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8、未被列入违法失信行为记录名单：供应商不得为中国政府采购网（www.ccgp.gov.cn）政府采购严重违法失信行为记录名单中被财政部门禁止参加政府采购活动的供应商。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9、参与的供应商（联合体）服务全部由符合政策要求的中小企业承接：参与的供应商（联合体）服务全部由符合政策要求的中小企业承接，供应商按要求提供中小企业声明函。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陕西省西安市雁塔区朱雀大街21号朱雀云天</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13220465000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代理服务费收费标准：（1）参照国家发展和改革委员会《招标代理服务收费暂行办法》（计价格[2002]1980号）、国家发改委[2003]857号文及陕价行发2014年88号文规定的收费标准的80%计取招标代理服务费。 （2）开户名称：中昊项目管理有限公司 开户银行：中国民生银行股份有限公司西安枫林绿洲支行 账号:160927203 缴纳方式：银行转账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西安市自然资源和规划局雁塔分局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联系人：薛澜</w:t>
      </w:r>
    </w:p>
    <w:p>
      <w:pPr>
        <w:pStyle w:val="null3"/>
      </w:pPr>
      <w:r>
        <w:rPr>
          <w:rFonts w:ascii="仿宋_GB2312" w:hAnsi="仿宋_GB2312" w:cs="仿宋_GB2312" w:eastAsia="仿宋_GB2312"/>
        </w:rPr>
        <w:t>联系电话：029-89565589</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采购内容:物业管理服务主要包括：客户服务、环境维护、公共秩序维护、设施设备维护、运行及物业档案资料管理等内容；主要功能或目标:办公用房物业服务管理；需满足的要求:满足办公需求。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b/>
              </w:rPr>
              <w:t>一、物业服务内容</w:t>
            </w:r>
          </w:p>
          <w:p>
            <w:pPr>
              <w:pStyle w:val="null3"/>
              <w:ind w:firstLine="560"/>
              <w:jc w:val="both"/>
            </w:pPr>
            <w:r>
              <w:rPr>
                <w:rFonts w:ascii="仿宋_GB2312" w:hAnsi="仿宋_GB2312" w:cs="仿宋_GB2312" w:eastAsia="仿宋_GB2312"/>
                <w:sz w:val="21"/>
              </w:rPr>
              <w:t>1、客户服务</w:t>
            </w:r>
          </w:p>
          <w:p>
            <w:pPr>
              <w:pStyle w:val="null3"/>
              <w:ind w:firstLine="560"/>
              <w:jc w:val="both"/>
            </w:pPr>
            <w:r>
              <w:rPr>
                <w:rFonts w:ascii="仿宋_GB2312" w:hAnsi="仿宋_GB2312" w:cs="仿宋_GB2312" w:eastAsia="仿宋_GB2312"/>
                <w:sz w:val="21"/>
              </w:rPr>
              <w:t>（1）办公区域的客户引领、迎送服务；</w:t>
            </w:r>
          </w:p>
          <w:p>
            <w:pPr>
              <w:pStyle w:val="null3"/>
              <w:ind w:firstLine="560"/>
              <w:jc w:val="both"/>
            </w:pPr>
            <w:r>
              <w:rPr>
                <w:rFonts w:ascii="仿宋_GB2312" w:hAnsi="仿宋_GB2312" w:cs="仿宋_GB2312" w:eastAsia="仿宋_GB2312"/>
                <w:sz w:val="21"/>
              </w:rPr>
              <w:t>（2）办公区的避雨服务；</w:t>
            </w:r>
          </w:p>
          <w:p>
            <w:pPr>
              <w:pStyle w:val="null3"/>
              <w:ind w:firstLine="560"/>
              <w:jc w:val="both"/>
            </w:pPr>
            <w:r>
              <w:rPr>
                <w:rFonts w:ascii="仿宋_GB2312" w:hAnsi="仿宋_GB2312" w:cs="仿宋_GB2312" w:eastAsia="仿宋_GB2312"/>
                <w:sz w:val="21"/>
              </w:rPr>
              <w:t>（3）客户的存伞服务；</w:t>
            </w:r>
          </w:p>
          <w:p>
            <w:pPr>
              <w:pStyle w:val="null3"/>
              <w:ind w:firstLine="560"/>
              <w:jc w:val="both"/>
            </w:pPr>
            <w:r>
              <w:rPr>
                <w:rFonts w:ascii="仿宋_GB2312" w:hAnsi="仿宋_GB2312" w:cs="仿宋_GB2312" w:eastAsia="仿宋_GB2312"/>
                <w:sz w:val="21"/>
              </w:rPr>
              <w:t>2、环境维护</w:t>
            </w:r>
          </w:p>
          <w:p>
            <w:pPr>
              <w:pStyle w:val="null3"/>
              <w:ind w:firstLine="560"/>
              <w:jc w:val="both"/>
            </w:pPr>
            <w:r>
              <w:rPr>
                <w:rFonts w:ascii="仿宋_GB2312" w:hAnsi="仿宋_GB2312" w:cs="仿宋_GB2312" w:eastAsia="仿宋_GB2312"/>
                <w:sz w:val="21"/>
              </w:rPr>
              <w:t>（1）1-2层办公区域地面、墙面、门窗的清洁、保洁。</w:t>
            </w:r>
          </w:p>
          <w:p>
            <w:pPr>
              <w:pStyle w:val="null3"/>
              <w:ind w:firstLine="560"/>
              <w:jc w:val="both"/>
            </w:pPr>
            <w:r>
              <w:rPr>
                <w:rFonts w:ascii="仿宋_GB2312" w:hAnsi="仿宋_GB2312" w:cs="仿宋_GB2312" w:eastAsia="仿宋_GB2312"/>
                <w:sz w:val="21"/>
              </w:rPr>
              <w:t>（2）1-2层办公区域设施的清洁、保洁、物品的整理。</w:t>
            </w:r>
          </w:p>
          <w:p>
            <w:pPr>
              <w:pStyle w:val="null3"/>
              <w:ind w:firstLine="560"/>
              <w:jc w:val="both"/>
            </w:pPr>
            <w:r>
              <w:rPr>
                <w:rFonts w:ascii="仿宋_GB2312" w:hAnsi="仿宋_GB2312" w:cs="仿宋_GB2312" w:eastAsia="仿宋_GB2312"/>
                <w:sz w:val="21"/>
              </w:rPr>
              <w:t>（3）电梯轿厢、电梯厅的清洁保洁。</w:t>
            </w:r>
          </w:p>
          <w:p>
            <w:pPr>
              <w:pStyle w:val="null3"/>
              <w:ind w:firstLine="560"/>
              <w:jc w:val="both"/>
            </w:pPr>
            <w:r>
              <w:rPr>
                <w:rFonts w:ascii="仿宋_GB2312" w:hAnsi="仿宋_GB2312" w:cs="仿宋_GB2312" w:eastAsia="仿宋_GB2312"/>
                <w:sz w:val="21"/>
              </w:rPr>
              <w:t>（4）茶水间卫生清洁及物品整理。</w:t>
            </w:r>
          </w:p>
          <w:p>
            <w:pPr>
              <w:pStyle w:val="null3"/>
              <w:ind w:firstLine="560"/>
              <w:jc w:val="both"/>
            </w:pPr>
            <w:r>
              <w:rPr>
                <w:rFonts w:ascii="仿宋_GB2312" w:hAnsi="仿宋_GB2312" w:cs="仿宋_GB2312" w:eastAsia="仿宋_GB2312"/>
                <w:sz w:val="21"/>
              </w:rPr>
              <w:t>（5）消防通道的清洁保洁。</w:t>
            </w:r>
          </w:p>
          <w:p>
            <w:pPr>
              <w:pStyle w:val="null3"/>
              <w:ind w:firstLine="560"/>
              <w:jc w:val="both"/>
            </w:pPr>
            <w:r>
              <w:rPr>
                <w:rFonts w:ascii="仿宋_GB2312" w:hAnsi="仿宋_GB2312" w:cs="仿宋_GB2312" w:eastAsia="仿宋_GB2312"/>
                <w:sz w:val="21"/>
              </w:rPr>
              <w:t>（6）大厅地毯的铺设，为携带雨伞的顾客发放雨伞袋。</w:t>
            </w:r>
          </w:p>
          <w:p>
            <w:pPr>
              <w:pStyle w:val="null3"/>
              <w:ind w:firstLine="560"/>
              <w:jc w:val="both"/>
            </w:pPr>
            <w:r>
              <w:rPr>
                <w:rFonts w:ascii="仿宋_GB2312" w:hAnsi="仿宋_GB2312" w:cs="仿宋_GB2312" w:eastAsia="仿宋_GB2312"/>
                <w:sz w:val="21"/>
              </w:rPr>
              <w:t>（7）办公垃圾的收集及清运。</w:t>
            </w:r>
          </w:p>
          <w:p>
            <w:pPr>
              <w:pStyle w:val="null3"/>
              <w:ind w:firstLine="560"/>
              <w:jc w:val="both"/>
            </w:pPr>
            <w:r>
              <w:rPr>
                <w:rFonts w:ascii="仿宋_GB2312" w:hAnsi="仿宋_GB2312" w:cs="仿宋_GB2312" w:eastAsia="仿宋_GB2312"/>
                <w:sz w:val="21"/>
              </w:rPr>
              <w:t>（8）办公区域的消杀服务；</w:t>
            </w:r>
          </w:p>
          <w:p>
            <w:pPr>
              <w:pStyle w:val="null3"/>
              <w:ind w:firstLine="560"/>
              <w:jc w:val="both"/>
            </w:pPr>
            <w:r>
              <w:rPr>
                <w:rFonts w:ascii="仿宋_GB2312" w:hAnsi="仿宋_GB2312" w:cs="仿宋_GB2312" w:eastAsia="仿宋_GB2312"/>
                <w:sz w:val="21"/>
              </w:rPr>
              <w:t>3、公共秩序维护</w:t>
            </w:r>
          </w:p>
          <w:p>
            <w:pPr>
              <w:pStyle w:val="null3"/>
              <w:ind w:firstLine="560"/>
              <w:jc w:val="both"/>
            </w:pPr>
            <w:r>
              <w:rPr>
                <w:rFonts w:ascii="仿宋_GB2312" w:hAnsi="仿宋_GB2312" w:cs="仿宋_GB2312" w:eastAsia="仿宋_GB2312"/>
                <w:sz w:val="21"/>
              </w:rPr>
              <w:t>（1）一层大厅的秩序维护、客户引导、室外停车场的车辆停放引导。</w:t>
            </w:r>
          </w:p>
          <w:p>
            <w:pPr>
              <w:pStyle w:val="null3"/>
              <w:ind w:firstLine="560"/>
              <w:jc w:val="both"/>
            </w:pPr>
            <w:r>
              <w:rPr>
                <w:rFonts w:ascii="仿宋_GB2312" w:hAnsi="仿宋_GB2312" w:cs="仿宋_GB2312" w:eastAsia="仿宋_GB2312"/>
                <w:sz w:val="21"/>
              </w:rPr>
              <w:t>（2）办公区的来访登记和扫码测温，检查行程码等疫情防控工作。</w:t>
            </w:r>
          </w:p>
          <w:p>
            <w:pPr>
              <w:pStyle w:val="null3"/>
              <w:ind w:firstLine="560"/>
              <w:jc w:val="both"/>
            </w:pPr>
            <w:r>
              <w:rPr>
                <w:rFonts w:ascii="仿宋_GB2312" w:hAnsi="仿宋_GB2312" w:cs="仿宋_GB2312" w:eastAsia="仿宋_GB2312"/>
                <w:sz w:val="21"/>
              </w:rPr>
              <w:t>（3）1-2层办公区域和地下室安全检查及巡逻。</w:t>
            </w:r>
          </w:p>
          <w:p>
            <w:pPr>
              <w:pStyle w:val="null3"/>
              <w:ind w:firstLine="560"/>
              <w:jc w:val="both"/>
            </w:pPr>
            <w:r>
              <w:rPr>
                <w:rFonts w:ascii="仿宋_GB2312" w:hAnsi="仿宋_GB2312" w:cs="仿宋_GB2312" w:eastAsia="仿宋_GB2312"/>
                <w:sz w:val="21"/>
              </w:rPr>
              <w:t>（4）上班及下班后进行清场检查。</w:t>
            </w:r>
          </w:p>
          <w:p>
            <w:pPr>
              <w:pStyle w:val="null3"/>
              <w:ind w:firstLine="560"/>
              <w:jc w:val="both"/>
            </w:pPr>
            <w:r>
              <w:rPr>
                <w:rFonts w:ascii="仿宋_GB2312" w:hAnsi="仿宋_GB2312" w:cs="仿宋_GB2312" w:eastAsia="仿宋_GB2312"/>
                <w:sz w:val="21"/>
              </w:rPr>
              <w:t>（5）夜间、节假日的值守。</w:t>
            </w:r>
          </w:p>
          <w:p>
            <w:pPr>
              <w:pStyle w:val="null3"/>
              <w:ind w:firstLine="560"/>
              <w:jc w:val="both"/>
            </w:pPr>
            <w:r>
              <w:rPr>
                <w:rFonts w:ascii="仿宋_GB2312" w:hAnsi="仿宋_GB2312" w:cs="仿宋_GB2312" w:eastAsia="仿宋_GB2312"/>
                <w:sz w:val="21"/>
              </w:rPr>
              <w:t>（6）消防设施设备的巡查、检测。</w:t>
            </w:r>
          </w:p>
          <w:p>
            <w:pPr>
              <w:pStyle w:val="null3"/>
              <w:ind w:firstLine="560"/>
              <w:jc w:val="both"/>
            </w:pPr>
            <w:r>
              <w:rPr>
                <w:rFonts w:ascii="仿宋_GB2312" w:hAnsi="仿宋_GB2312" w:cs="仿宋_GB2312" w:eastAsia="仿宋_GB2312"/>
                <w:sz w:val="21"/>
              </w:rPr>
              <w:t>（7）监控室的值班、运行。</w:t>
            </w:r>
          </w:p>
          <w:p>
            <w:pPr>
              <w:pStyle w:val="null3"/>
              <w:ind w:firstLine="560"/>
              <w:jc w:val="both"/>
            </w:pPr>
            <w:r>
              <w:rPr>
                <w:rFonts w:ascii="仿宋_GB2312" w:hAnsi="仿宋_GB2312" w:cs="仿宋_GB2312" w:eastAsia="仿宋_GB2312"/>
                <w:sz w:val="21"/>
              </w:rPr>
              <w:t>（8）应急突发事件的处理。</w:t>
            </w:r>
          </w:p>
          <w:p>
            <w:pPr>
              <w:pStyle w:val="null3"/>
              <w:ind w:firstLine="560"/>
              <w:jc w:val="both"/>
            </w:pPr>
            <w:r>
              <w:rPr>
                <w:rFonts w:ascii="仿宋_GB2312" w:hAnsi="仿宋_GB2312" w:cs="仿宋_GB2312" w:eastAsia="仿宋_GB2312"/>
                <w:sz w:val="21"/>
              </w:rPr>
              <w:t>（9）现场的快递服务；</w:t>
            </w:r>
          </w:p>
          <w:p>
            <w:pPr>
              <w:pStyle w:val="null3"/>
              <w:ind w:firstLine="560"/>
              <w:jc w:val="both"/>
            </w:pPr>
            <w:r>
              <w:rPr>
                <w:rFonts w:ascii="仿宋_GB2312" w:hAnsi="仿宋_GB2312" w:cs="仿宋_GB2312" w:eastAsia="仿宋_GB2312"/>
                <w:sz w:val="21"/>
              </w:rPr>
              <w:t>4、设施设备维护、运行</w:t>
            </w:r>
          </w:p>
          <w:p>
            <w:pPr>
              <w:pStyle w:val="null3"/>
              <w:ind w:firstLine="560"/>
              <w:jc w:val="both"/>
            </w:pPr>
            <w:r>
              <w:rPr>
                <w:rFonts w:ascii="仿宋_GB2312" w:hAnsi="仿宋_GB2312" w:cs="仿宋_GB2312" w:eastAsia="仿宋_GB2312"/>
                <w:sz w:val="21"/>
              </w:rPr>
              <w:t>（1）电梯日常运行巡查、《电梯日常维护保养合同》的签订及电梯维保的监督检查。</w:t>
            </w:r>
          </w:p>
          <w:p>
            <w:pPr>
              <w:pStyle w:val="null3"/>
              <w:ind w:firstLine="560"/>
              <w:jc w:val="both"/>
            </w:pPr>
            <w:r>
              <w:rPr>
                <w:rFonts w:ascii="仿宋_GB2312" w:hAnsi="仿宋_GB2312" w:cs="仿宋_GB2312" w:eastAsia="仿宋_GB2312"/>
                <w:sz w:val="21"/>
              </w:rPr>
              <w:t>（2）中央空调系统的运行及维护保养。</w:t>
            </w:r>
          </w:p>
          <w:p>
            <w:pPr>
              <w:pStyle w:val="null3"/>
              <w:ind w:firstLine="560"/>
              <w:jc w:val="both"/>
            </w:pPr>
            <w:r>
              <w:rPr>
                <w:rFonts w:ascii="仿宋_GB2312" w:hAnsi="仿宋_GB2312" w:cs="仿宋_GB2312" w:eastAsia="仿宋_GB2312"/>
                <w:sz w:val="21"/>
              </w:rPr>
              <w:t>（3）消防报警系统、消防排烟系统、摄像监控系统的维护保养。</w:t>
            </w:r>
          </w:p>
          <w:p>
            <w:pPr>
              <w:pStyle w:val="null3"/>
              <w:ind w:firstLine="560"/>
              <w:jc w:val="both"/>
            </w:pPr>
            <w:r>
              <w:rPr>
                <w:rFonts w:ascii="仿宋_GB2312" w:hAnsi="仿宋_GB2312" w:cs="仿宋_GB2312" w:eastAsia="仿宋_GB2312"/>
                <w:sz w:val="21"/>
              </w:rPr>
              <w:t>（4）办公区域照明、给排水设施的维修巡查。</w:t>
            </w:r>
          </w:p>
          <w:p>
            <w:pPr>
              <w:pStyle w:val="null3"/>
              <w:ind w:firstLine="560"/>
              <w:jc w:val="both"/>
            </w:pPr>
            <w:r>
              <w:rPr>
                <w:rFonts w:ascii="仿宋_GB2312" w:hAnsi="仿宋_GB2312" w:cs="仿宋_GB2312" w:eastAsia="仿宋_GB2312"/>
                <w:sz w:val="21"/>
              </w:rPr>
              <w:t>（5）公共部位装饰装修的检查及维护。</w:t>
            </w:r>
          </w:p>
          <w:p>
            <w:pPr>
              <w:pStyle w:val="null3"/>
              <w:ind w:firstLine="560"/>
              <w:jc w:val="both"/>
            </w:pPr>
            <w:r>
              <w:rPr>
                <w:rFonts w:ascii="仿宋_GB2312" w:hAnsi="仿宋_GB2312" w:cs="仿宋_GB2312" w:eastAsia="仿宋_GB2312"/>
                <w:sz w:val="21"/>
              </w:rPr>
              <w:t>5、物业档案资料的管理。</w:t>
            </w:r>
          </w:p>
          <w:p>
            <w:pPr>
              <w:pStyle w:val="null3"/>
              <w:ind w:firstLine="560"/>
              <w:jc w:val="both"/>
            </w:pPr>
            <w:r>
              <w:rPr>
                <w:rFonts w:ascii="仿宋_GB2312" w:hAnsi="仿宋_GB2312" w:cs="仿宋_GB2312" w:eastAsia="仿宋_GB2312"/>
                <w:sz w:val="21"/>
                <w:b/>
              </w:rPr>
              <w:t>二、物业服务标准指标</w:t>
            </w:r>
          </w:p>
          <w:p>
            <w:pPr>
              <w:pStyle w:val="null3"/>
              <w:ind w:firstLine="560"/>
              <w:jc w:val="both"/>
            </w:pPr>
            <w:r>
              <w:rPr>
                <w:rFonts w:ascii="仿宋_GB2312" w:hAnsi="仿宋_GB2312" w:cs="仿宋_GB2312" w:eastAsia="仿宋_GB2312"/>
                <w:sz w:val="21"/>
              </w:rPr>
              <w:t>1、环境卫生，清洁率≥95%。</w:t>
            </w:r>
          </w:p>
          <w:p>
            <w:pPr>
              <w:pStyle w:val="null3"/>
              <w:ind w:firstLine="560"/>
              <w:jc w:val="both"/>
            </w:pPr>
            <w:r>
              <w:rPr>
                <w:rFonts w:ascii="仿宋_GB2312" w:hAnsi="仿宋_GB2312" w:cs="仿宋_GB2312" w:eastAsia="仿宋_GB2312"/>
                <w:sz w:val="21"/>
              </w:rPr>
              <w:t>2、保洁服务满意率≥95%。</w:t>
            </w:r>
          </w:p>
          <w:p>
            <w:pPr>
              <w:pStyle w:val="null3"/>
              <w:ind w:firstLine="560"/>
              <w:jc w:val="both"/>
            </w:pPr>
            <w:r>
              <w:rPr>
                <w:rFonts w:ascii="仿宋_GB2312" w:hAnsi="仿宋_GB2312" w:cs="仿宋_GB2312" w:eastAsia="仿宋_GB2312"/>
                <w:sz w:val="21"/>
              </w:rPr>
              <w:t>3、火灾责任事故发生率0%。</w:t>
            </w:r>
          </w:p>
          <w:p>
            <w:pPr>
              <w:pStyle w:val="null3"/>
              <w:ind w:firstLine="560"/>
              <w:jc w:val="both"/>
            </w:pPr>
            <w:r>
              <w:rPr>
                <w:rFonts w:ascii="仿宋_GB2312" w:hAnsi="仿宋_GB2312" w:cs="仿宋_GB2312" w:eastAsia="仿宋_GB2312"/>
                <w:sz w:val="21"/>
              </w:rPr>
              <w:t>4、消防设施设备完好率100%。</w:t>
            </w:r>
          </w:p>
          <w:p>
            <w:pPr>
              <w:pStyle w:val="null3"/>
              <w:ind w:firstLine="560"/>
              <w:jc w:val="both"/>
            </w:pPr>
            <w:r>
              <w:rPr>
                <w:rFonts w:ascii="仿宋_GB2312" w:hAnsi="仿宋_GB2312" w:cs="仿宋_GB2312" w:eastAsia="仿宋_GB2312"/>
                <w:sz w:val="21"/>
              </w:rPr>
              <w:t>5、设备完好率100%；</w:t>
            </w:r>
          </w:p>
          <w:p>
            <w:pPr>
              <w:pStyle w:val="null3"/>
              <w:ind w:firstLine="560"/>
              <w:jc w:val="both"/>
            </w:pPr>
            <w:r>
              <w:rPr>
                <w:rFonts w:ascii="仿宋_GB2312" w:hAnsi="仿宋_GB2312" w:cs="仿宋_GB2312" w:eastAsia="仿宋_GB2312"/>
                <w:sz w:val="21"/>
              </w:rPr>
              <w:t>6、零修及时率≥95%；急修及时率达100%；</w:t>
            </w:r>
          </w:p>
          <w:p>
            <w:pPr>
              <w:pStyle w:val="null3"/>
              <w:ind w:firstLine="560"/>
              <w:jc w:val="both"/>
            </w:pPr>
            <w:r>
              <w:rPr>
                <w:rFonts w:ascii="仿宋_GB2312" w:hAnsi="仿宋_GB2312" w:cs="仿宋_GB2312" w:eastAsia="仿宋_GB2312"/>
                <w:sz w:val="21"/>
              </w:rPr>
              <w:t>7、服务有效投诉处理率≥95%；</w:t>
            </w:r>
          </w:p>
          <w:p>
            <w:pPr>
              <w:pStyle w:val="null3"/>
              <w:ind w:firstLine="560"/>
              <w:jc w:val="both"/>
            </w:pPr>
            <w:r>
              <w:rPr>
                <w:rFonts w:ascii="仿宋_GB2312" w:hAnsi="仿宋_GB2312" w:cs="仿宋_GB2312" w:eastAsia="仿宋_GB2312"/>
                <w:sz w:val="21"/>
              </w:rPr>
              <w:t>8、每季度征询一次采购人对物业服务的意见，满意率达≥90%。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本项目需配置服务人员12人，其中主管1名、白班门岗1名、白班巡逻1名、夜班值班岗1名、监控岗2名、保洁5名、水电及空调维修工1名。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西安市朱雀大街21号二楼及地下室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每月5日前向采购人开具本月物业服务费发票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每月5日前向采购人开具本月物业服务费发票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每月5日前向采购人开具本月物业服务费发票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每月5日前向采购人开具本月物业服务费发票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合同到期后将自动解除。二、若乙方因破产、歇业或被吊销营业执照而不能继续为甲方提供物业管理外包服务，应提前一个月通知甲方，在甲方找到新的服务商之前，甲方有权要求乙方继续提供物业管理服务。三、如乙方未按合同约定提供服务或提供服务不符合合同要求，未能达到约定的管理目标，乙方及时予以整改。 四、甲方在无故违反协议，不按本协议约定的收费标准和时间支付有关费用的，乙方有权要求甲方补缴并承担当月物业服务费用【3‰】违约金。同时乙方可采取其他措施予以催收，直至向人民法院起诉。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企业财务状况</w:t>
            </w:r>
          </w:p>
        </w:tc>
        <w:tc>
          <w:tcPr>
            <w:tcW w:type="dxa" w:w="3322"/>
          </w:tcPr>
          <w:p>
            <w:pPr>
              <w:pStyle w:val="null3"/>
            </w:pPr>
            <w:r>
              <w:rPr>
                <w:rFonts w:ascii="仿宋_GB2312" w:hAnsi="仿宋_GB2312" w:cs="仿宋_GB2312" w:eastAsia="仿宋_GB2312"/>
              </w:rPr>
              <w:t>提供具有财务审计资质的单位出具经审计的2022年度或2023年度或2024年度财务报告；或在开标日期前6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依法缴纳税收的良好记录</w:t>
            </w:r>
          </w:p>
        </w:tc>
        <w:tc>
          <w:tcPr>
            <w:tcW w:type="dxa" w:w="3322"/>
          </w:tcPr>
          <w:p>
            <w:pPr>
              <w:pStyle w:val="null3"/>
            </w:pPr>
            <w:r>
              <w:rPr>
                <w:rFonts w:ascii="仿宋_GB2312" w:hAnsi="仿宋_GB2312" w:cs="仿宋_GB2312" w:eastAsia="仿宋_GB2312"/>
              </w:rPr>
              <w:t>提供依法缴纳税收的良好记录，缴费所属日期为磋商截止时间前6个月内任一月份（磋商截止时间当月不计入）的增值税（或企业所得税）缴费凭据或纳税的银行转账汇款单、对账单等判定/在法规范围内不需提供的应出具书面说明和证明文件；军队单位不作要求。</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依法缴纳社会保障资金的良好记录</w:t>
            </w:r>
          </w:p>
        </w:tc>
        <w:tc>
          <w:tcPr>
            <w:tcW w:type="dxa" w:w="3322"/>
          </w:tcPr>
          <w:p>
            <w:pPr>
              <w:pStyle w:val="null3"/>
            </w:pPr>
            <w:r>
              <w:rPr>
                <w:rFonts w:ascii="仿宋_GB2312" w:hAnsi="仿宋_GB2312" w:cs="仿宋_GB2312" w:eastAsia="仿宋_GB2312"/>
              </w:rPr>
              <w:t>提供依法缴纳社会保障资金的良好记录，缴费所属日期为投标截止时间前6个月内任一月份（投标截止时间当月不计入）的根据银行转账汇款单或社保部门出具的缴纳社会保障金的凭证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法定代表人（主要负责人）或委托代理人授权</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未被列入违法失信行为记录名单</w:t>
            </w:r>
          </w:p>
        </w:tc>
        <w:tc>
          <w:tcPr>
            <w:tcW w:type="dxa" w:w="3322"/>
          </w:tcPr>
          <w:p>
            <w:pPr>
              <w:pStyle w:val="null3"/>
            </w:pPr>
            <w:r>
              <w:rPr>
                <w:rFonts w:ascii="仿宋_GB2312" w:hAnsi="仿宋_GB2312" w:cs="仿宋_GB2312" w:eastAsia="仿宋_GB2312"/>
              </w:rPr>
              <w:t>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参与的供应商（联合体）服务全部由符合政策要求的中小企业承接</w:t>
            </w:r>
          </w:p>
        </w:tc>
        <w:tc>
          <w:tcPr>
            <w:tcW w:type="dxa" w:w="3322"/>
          </w:tcPr>
          <w:p>
            <w:pPr>
              <w:pStyle w:val="null3"/>
            </w:pPr>
            <w:r>
              <w:rPr>
                <w:rFonts w:ascii="仿宋_GB2312" w:hAnsi="仿宋_GB2312" w:cs="仿宋_GB2312" w:eastAsia="仿宋_GB2312"/>
              </w:rPr>
              <w:t>参与的供应商（联合体）服务全部由符合政策要求的中小企业承接，供应商按要求提供中小企业声明函。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完整性审查-响应文件内容</w:t>
            </w:r>
          </w:p>
        </w:tc>
        <w:tc>
          <w:tcPr>
            <w:tcW w:type="dxa" w:w="3322"/>
          </w:tcPr>
          <w:p>
            <w:pPr>
              <w:pStyle w:val="null3"/>
            </w:pPr>
            <w:r>
              <w:rPr>
                <w:rFonts w:ascii="仿宋_GB2312" w:hAnsi="仿宋_GB2312" w:cs="仿宋_GB2312" w:eastAsia="仿宋_GB2312"/>
              </w:rPr>
              <w:t>响应文件内容完整、无遗漏。</w:t>
            </w:r>
          </w:p>
        </w:tc>
        <w:tc>
          <w:tcPr>
            <w:tcW w:type="dxa" w:w="1661"/>
          </w:tcPr>
          <w:p>
            <w:pPr>
              <w:pStyle w:val="null3"/>
            </w:pPr>
            <w:r>
              <w:rPr>
                <w:rFonts w:ascii="仿宋_GB2312" w:hAnsi="仿宋_GB2312" w:cs="仿宋_GB2312" w:eastAsia="仿宋_GB2312"/>
              </w:rPr>
              <w:t>响应文件封面 服务条款偏离表 中小企业声明函 残疾人福利性单位声明函 标的清单 报价表 响应函 商务条款偏离表 其他证明材料 监狱企业的证明文件 供应商资格证明文件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服务条款偏离表 中小企业声明函 残疾人福利性单位声明函 标的清单 报价表 响应函 商务条款偏离表 其他证明材料 监狱企业的证明文件 供应商资格证明文件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响应性审查-服务期限</w:t>
            </w:r>
          </w:p>
        </w:tc>
        <w:tc>
          <w:tcPr>
            <w:tcW w:type="dxa" w:w="3322"/>
          </w:tcPr>
          <w:p>
            <w:pPr>
              <w:pStyle w:val="null3"/>
            </w:pPr>
            <w:r>
              <w:rPr>
                <w:rFonts w:ascii="仿宋_GB2312" w:hAnsi="仿宋_GB2312" w:cs="仿宋_GB2312" w:eastAsia="仿宋_GB2312"/>
              </w:rPr>
              <w:t>应满足磋商文件中规定的服务期限要求。</w:t>
            </w:r>
          </w:p>
        </w:tc>
        <w:tc>
          <w:tcPr>
            <w:tcW w:type="dxa" w:w="1661"/>
          </w:tcPr>
          <w:p>
            <w:pPr>
              <w:pStyle w:val="null3"/>
            </w:pPr>
            <w:r>
              <w:rPr>
                <w:rFonts w:ascii="仿宋_GB2312" w:hAnsi="仿宋_GB2312" w:cs="仿宋_GB2312" w:eastAsia="仿宋_GB2312"/>
              </w:rPr>
              <w:t>服务条款偏离表 标的清单 报价表 商务条款偏离表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服务条款偏离表 商务条款偏离表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提供2022年1月至今(以合同签订日期或中标（成交）通知书落款日期为准)物业服务项目业绩：每提供一份得2分，最高6分（未提供或非同类项目或合同不完整的不计分）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提供实质性的增值服务，每提供1项得2分，最高8分（以书面声明承诺为准），无书面声明承诺不计分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服务总方案</w:t>
            </w:r>
          </w:p>
        </w:tc>
        <w:tc>
          <w:tcPr>
            <w:tcW w:type="dxa" w:w="2492"/>
          </w:tcPr>
          <w:p>
            <w:pPr>
              <w:pStyle w:val="null3"/>
            </w:pPr>
            <w:r>
              <w:rPr>
                <w:rFonts w:ascii="仿宋_GB2312" w:hAnsi="仿宋_GB2312" w:cs="仿宋_GB2312" w:eastAsia="仿宋_GB2312"/>
              </w:rPr>
              <w:t>针对本项目需求提出服务内容、目标，详细列出标准化服务工作方案。1、服务定位准确清晰、目标明确、工作方案全面、工作流程科学、方案落地性强、有标准化规章制度、内容丰富且完善、能优秀的满足采购人需求的，得16分；2、服务定位准确、目标明确、工作方案较全面、工作流程合理、方案具备可操作性、有规章制度、内容完善、能完整满足采购人需求的，得12分；3、对服务定位有一定认知、具备工作目标、具备工作方案、提供工作流程、方案具备可操作性、有规章制度、内容完善、能基本满足采购人需求的，得8分；4、对服务定位不清晰、工作目标分析不合理、具备工作方案但方案具备落地性较差、规章制度有疏漏、内容存在歧义、能基本满足采购人需求的，得4分；5、本项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关服务区域设施设备维护运行、公共秩序维护、管理运行机制、各部门职责、岗位设置方案、档案管理方案、各类节假日、临时性活动配合方案、人员管理办法、服务质量标准、考核办法等内容经评审。1、可以确保良好的服务区域设施设备维护运行、公共秩序维护制度全面、管理运行机制合理、各部门职责明确、岗位设置方案合理、档案管理方案清晰合理、各类节假日临时性活动配合方案丰富全面、人员管理办法严谨、服务质量标准明确、考核办法科学严谨，得15分；2、服务区域设施设备维护运行制度合理、具备公共秩序维护制度全面、管理运行机制合理、各部门职责及岗位设置方案合理、具备档案管理方案、提供各类节假日临时性活动配合方案、人员管理办法合理、有完整的服务质量标准及考核办法科学，得10分；3、按评审标准提供各项管理制度，所提供的管理制度基本满足项目采购需求要求，得5分；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安全保障及服务质量保证措施</w:t>
            </w:r>
          </w:p>
        </w:tc>
        <w:tc>
          <w:tcPr>
            <w:tcW w:type="dxa" w:w="2492"/>
          </w:tcPr>
          <w:p>
            <w:pPr>
              <w:pStyle w:val="null3"/>
            </w:pPr>
            <w:r>
              <w:rPr>
                <w:rFonts w:ascii="仿宋_GB2312" w:hAnsi="仿宋_GB2312" w:cs="仿宋_GB2312" w:eastAsia="仿宋_GB2312"/>
              </w:rPr>
              <w:t>按要求提供安全管理制度，措施到位，有物业管理档案管理制度，包括用户档案、重大事项管理档案、巡查记录、运行档案、投诉与回访记录、其他管理服务流动记录及档案等。1、根据评审标准所列各因素提供安全管理制度及服务质量保证措施，提供内容全面、完善、落地性强，科学合理的，能有效合理的满足采购人需求的，得15分；2、根据评审标准所列各因素提供安全管理制度及服务质量保证措施，提供内容合理、具备落地性强，可以满足采购人需求的，得10分；3、根据评审标准所列各因素提供安全管理制度及服务质量保证措施，内容无缺失、可以基本采购人需求的，得5分；4、本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有详细健全的岗位设置，人员充足素质高，提供人员能力证明材料，完全符合要求得，得8分；2、有详细健全的岗位设置，人员相对充足素质高，提供人员能力证明材料较完整，基本符合要求得，5分；3、岗位设置模糊，人员配备冗余，提供人员能力证明材料不完整，得2分；4、本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1、有详细的培训计划方案，提供丰富合理严谨的岗前培训、定期培训及考核计划，完全满足项目需求，得7分；2、有合理培训计划方案，提供岗前培训、定期培训及考核计划，较为满足4分；3、培训计划方案不清晰，提供岗前培训计划内容较模糊、定期培训及考核计划等仅能满足项目需求，一般1分。4、本项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具有针对本项目服务过程突发和临时事件的预计、应急处理能力，制定完善、具体、可行的应急预案，得10分；2、所制定的服务过程和突发临时事件的应急预案内容较完善，可行性欠缺，得6分；3、所制定的服务过程和突发临时事件的应急预案内容不全面内容粗糙，制度完善性差，得2分；4、本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回访服务</w:t>
            </w:r>
          </w:p>
        </w:tc>
        <w:tc>
          <w:tcPr>
            <w:tcW w:type="dxa" w:w="2492"/>
          </w:tcPr>
          <w:p>
            <w:pPr>
              <w:pStyle w:val="null3"/>
            </w:pPr>
            <w:r>
              <w:rPr>
                <w:rFonts w:ascii="仿宋_GB2312" w:hAnsi="仿宋_GB2312" w:cs="仿宋_GB2312" w:eastAsia="仿宋_GB2312"/>
              </w:rPr>
              <w:t>定期回访服务对象相关部门负责人的计划方案及意见反馈机制，确保服务对象满意。1、计划方案及意见反馈机制内容全面详细，科学可行，得5分；2、计划方案及意见反馈机制内容较全面详细，制度较完善，得3分；3、计划方案及意见反馈机制内容不全面内容粗糙，制度完善性差，得1分；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1、最低评标价为评标基准价，得10分。2、按（评标基准价/评标价×10）的公式计算价格得分。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详见附件：服务条款偏离表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