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版本号：0617-2522FZ128120250604001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西安市雁塔区2025年社区工作人员体检项目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0617-2522FZ1281</w:t>
      </w:r>
      <w:r>
        <w:br/>
      </w:r>
      <w:r>
        <w:br/>
      </w:r>
      <w:r>
        <w:br/>
      </w:r>
    </w:p>
    <w:p>
      <w:pPr>
        <w:pStyle w:val="null3"/>
        <w:jc w:val="center"/>
        <w:outlineLvl w:val="2"/>
      </w:pPr>
      <w:r>
        <w:rPr>
          <w:rFonts w:ascii="仿宋_GB2312" w:hAnsi="仿宋_GB2312" w:cs="仿宋_GB2312" w:eastAsia="仿宋_GB2312"/>
          <w:sz w:val="28"/>
          <w:b/>
        </w:rPr>
        <w:t>中共西安市雁塔区委社会工作部</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中共西安市雁塔区委社会工作部</w:t>
      </w:r>
      <w:r>
        <w:rPr>
          <w:rFonts w:ascii="仿宋_GB2312" w:hAnsi="仿宋_GB2312" w:cs="仿宋_GB2312" w:eastAsia="仿宋_GB2312"/>
        </w:rPr>
        <w:t>委托，拟对</w:t>
      </w:r>
      <w:r>
        <w:rPr>
          <w:rFonts w:ascii="仿宋_GB2312" w:hAnsi="仿宋_GB2312" w:cs="仿宋_GB2312" w:eastAsia="仿宋_GB2312"/>
        </w:rPr>
        <w:t>西安市雁塔区2025年社区工作人员体检项目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0617-2522FZ1281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西安市雁塔区2025年社区工作人员体检项目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为西安市雁塔区社区工作人员进行健康体检。</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1、资质要求：供应商具有《医疗机构执业许可证》及《放射诊疗许可证》。</w:t>
      </w:r>
    </w:p>
    <w:p>
      <w:pPr>
        <w:pStyle w:val="null3"/>
      </w:pPr>
      <w:r>
        <w:rPr>
          <w:rFonts w:ascii="仿宋_GB2312" w:hAnsi="仿宋_GB2312" w:cs="仿宋_GB2312" w:eastAsia="仿宋_GB2312"/>
        </w:rPr>
        <w:t>2、信用信息：供应商不得为“信用中国”网站（www.creditchina.gov.cn）列入失信被执行人、重大税收违法失信主体、政府采购严重违法失信行为记录名单的供应商，不得为“中国政府采购网”（www.ccgp.gov.cn）政府采购严重违法失信行为记录名单中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中共西安市雁塔区委社会工作部</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西安市雁塔区小寨东路168号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中共西安市雁塔区社会工作部经办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029-85381707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杨凡、王炳淇、程佳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029-85592868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采购包1：1,562,500.00元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代理服务费收费标准：人民币18500.00元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中共西安市雁塔区委社会工作部</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中共西安市雁塔区委社会工作部</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中共西安市雁塔区委社会工作部</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为西安市雁塔区社区工作人员进行健康体检。</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1,562,500.00</w:t>
      </w:r>
    </w:p>
    <w:p>
      <w:pPr>
        <w:pStyle w:val="null3"/>
      </w:pPr>
      <w:r>
        <w:rPr>
          <w:rFonts w:ascii="仿宋_GB2312" w:hAnsi="仿宋_GB2312" w:cs="仿宋_GB2312" w:eastAsia="仿宋_GB2312"/>
        </w:rPr>
        <w:t>采购包最高限价（元）: 1,562,500.00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西安市雁塔区2025年社区工作人员体检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1,562,500.00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标的名称：西安市雁塔区2025年社区工作人员体检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一、体检项目内容</w:t>
            </w:r>
            <w:r>
              <w:br/>
            </w:r>
            <w:r>
              <w:rPr>
                <w:rFonts w:ascii="仿宋_GB2312" w:hAnsi="仿宋_GB2312" w:cs="仿宋_GB2312" w:eastAsia="仿宋_GB2312"/>
              </w:rPr>
              <w:t xml:space="preserve"> 本次体检要求包含以下基本体检项目，各供应商可根据基本体检项目设计相应的体检套餐。</w:t>
            </w:r>
            <w:r>
              <w:br/>
            </w:r>
            <w:r>
              <w:rPr>
                <w:rFonts w:ascii="仿宋_GB2312" w:hAnsi="仿宋_GB2312" w:cs="仿宋_GB2312" w:eastAsia="仿宋_GB2312"/>
              </w:rPr>
              <w:t xml:space="preserve"> 男性：一般体检(身高、体重、血压)、内科、外科检查、尿常规、血常规、肝功全套、血糖、肾功能检测、乙肝五项、血脂六项、甲胎蛋白AFP定量、癌胚抗原CEA定量、前列腺特异性抗原、心电图、DR胸部正位片、腹部B超（肝、胆、胰、脾、肾、前列腺）、甲状腺B超、C14呼气试验；</w:t>
            </w:r>
            <w:r>
              <w:br/>
            </w:r>
            <w:r>
              <w:rPr>
                <w:rFonts w:ascii="仿宋_GB2312" w:hAnsi="仿宋_GB2312" w:cs="仿宋_GB2312" w:eastAsia="仿宋_GB2312"/>
              </w:rPr>
              <w:t xml:space="preserve"> 女性：一般体检(身高、体重、血压)、内科、外科检查、尿常规、血常规、肝功全套、血糖、肾功能检测、乙肝五项、血脂六项、甲胎蛋白AFP定量、癌胚抗原CEA定量、心电图、DR胸部正位片、腹、胸部B超（肝、胆、胰、脾、肾、乳腺、子宫附件）、甲状腺B超、C14呼气试验。</w:t>
            </w:r>
            <w:r>
              <w:br/>
            </w:r>
            <w:r>
              <w:rPr>
                <w:rFonts w:ascii="仿宋_GB2312" w:hAnsi="仿宋_GB2312" w:cs="仿宋_GB2312" w:eastAsia="仿宋_GB2312"/>
              </w:rPr>
              <w:t xml:space="preserve"> 二、体检人员数量</w:t>
            </w:r>
            <w:r>
              <w:br/>
            </w:r>
            <w:r>
              <w:rPr>
                <w:rFonts w:ascii="仿宋_GB2312" w:hAnsi="仿宋_GB2312" w:cs="仿宋_GB2312" w:eastAsia="仿宋_GB2312"/>
              </w:rPr>
              <w:t xml:space="preserve"> 预算人数：3125人,(其中男性770人，女性2355人)最终按照实际参检人数据实结算。</w:t>
            </w:r>
            <w:r>
              <w:br/>
            </w:r>
            <w:r>
              <w:rPr>
                <w:rFonts w:ascii="仿宋_GB2312" w:hAnsi="仿宋_GB2312" w:cs="仿宋_GB2312" w:eastAsia="仿宋_GB2312"/>
              </w:rPr>
              <w:t xml:space="preserve"> 三、服务要求</w:t>
            </w:r>
            <w:r>
              <w:br/>
            </w:r>
            <w:r>
              <w:rPr>
                <w:rFonts w:ascii="仿宋_GB2312" w:hAnsi="仿宋_GB2312" w:cs="仿宋_GB2312" w:eastAsia="仿宋_GB2312"/>
              </w:rPr>
              <w:t xml:space="preserve"> 服务供应商应严格遵守《健康体检管理暂行规定》，为需方职工安排高质量、规范化的体检服务，采取有效措施保证健康体检的质量。安排专人负责组织落实需方职工体检事项,为需方合理安排体检时间，在约定的时间内完成健康体检、结果汇总、危急值反馈等工作，服务供应商应在需方职工完成全部体检项目后十五个工作日内，向需方出具符合《健康体检管理暂行规定》的个人健康体检报告，团体体检完成后十五个工作日内出具团检报告。服务供应商应为需方职工体检后复查、确诊、住院、手术、治疗等开辟绿色通道，提供健康咨询或指导服务。服务供应商应严格履行响应文件中向需方做出的服务承诺。</w:t>
            </w:r>
            <w:r>
              <w:br/>
            </w:r>
            <w:r>
              <w:rPr>
                <w:rFonts w:ascii="仿宋_GB2312" w:hAnsi="仿宋_GB2312" w:cs="仿宋_GB2312" w:eastAsia="仿宋_GB2312"/>
              </w:rPr>
              <w:t xml:space="preserve"> 四、商务要求</w:t>
            </w:r>
            <w:r>
              <w:br/>
            </w:r>
            <w:r>
              <w:rPr>
                <w:rFonts w:ascii="仿宋_GB2312" w:hAnsi="仿宋_GB2312" w:cs="仿宋_GB2312" w:eastAsia="仿宋_GB2312"/>
              </w:rPr>
              <w:t xml:space="preserve"> 4.1服务期：两个月，具体时间按合同约定。</w:t>
            </w:r>
            <w:r>
              <w:br/>
            </w:r>
            <w:r>
              <w:rPr>
                <w:rFonts w:ascii="仿宋_GB2312" w:hAnsi="仿宋_GB2312" w:cs="仿宋_GB2312" w:eastAsia="仿宋_GB2312"/>
              </w:rPr>
              <w:t xml:space="preserve"> 4.2合同专用条款和通用条款的全部内容。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两个月，具体时间按合同约定。</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按《政府采购法》、《民法典》及本项目采购文件、响应文件及合同相关条款中的相关条款执行。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（一）具有独立承担民事责任的能力：提供注册登记凭证（营业执照、其他组织经营的合法凭证，自然人的提供身份证明文件）。 （二）具有良好的商业信誉和健全的财务会计制度：提供2023年度或2024年度经审计的财务报告（包括四表一注，即资产负债表、利润表、现金流量表、所有者权益变动表及其附注）；事业法人提供部门决算报告；/或在磋商日期前六个月内其基本开户银行出具的资信证明（附《基本存款账户信息》或《银行开户许可证》复印件）； /或财政部门认可的政府采购专业担保机构出具的磋商担保函；/或表明具有良好的商业信誉和健全的财务会计制度的承诺函；以上四种形式的资料提供任何一种即可。 （三）具有履行合同所必需的设备和专业技术能力：提供承诺函。 （四）具有依法缴纳税收的良好记录：提供缴费所属日期为磋商截止时间前12个月内任意一个月（磋商截止时间当月不计入）的增值税（或所得税）缴费凭据或税务机关出具的完税证明/在法规范围内不需提供的应出具书面说明和证明文件；/或具有依法缴纳税收的承诺函；以上二种形式的资料提供任何一种即可。 （五）具有依法缴纳社会保障资金的良好记录：提供缴费所属日期为磋商截止时间前12个月内任意一个月（磋商截止时间当月不计入）的缴费凭据或社保机关出具的缴费证明/在法规范围内不需提供的应出具书面说明和证明文件；/或具有依法缴纳社会保障资金的缴纳记录的承诺函；以上二种形式的资料提供任何一种即可。 （六）参加政府采购活动前3年内在经营活动中没有重大违法记录的书面声明。供应商需在项目电子化交易系统中按要求上传相应证明文件并进行电子签章。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事业法人提供部门决算报告；/或在磋商日期前六个月内其基本开户银行出具的资信证明（附《基本存款账户信息》或《银行开户许可证》复印件）； /或财政部门认可的政府采购专业担保机构出具的磋商担保函；/或表明具有良好的商业信誉和健全的财务会计制度的承诺函；以上四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供应商具有《医疗机构执业许可证》及《放射诊疗许可证》。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列入失信被执行人、重大税收违法失信主体、政府采购严重违法失信行为记录名单的供应商，不得为“中国政府采购网”（www.ccgp.gov.cn）政府采购严重违法失信行为记录名单中的供应商。</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磋商响应文件的完整性、有效性、响应性审查</w:t>
            </w:r>
          </w:p>
        </w:tc>
        <w:tc>
          <w:tcPr>
            <w:tcW w:type="dxa" w:w="3322"/>
          </w:tcPr>
          <w:p>
            <w:pPr>
              <w:pStyle w:val="null3"/>
            </w:pPr>
            <w:r>
              <w:rPr>
                <w:rFonts w:ascii="仿宋_GB2312" w:hAnsi="仿宋_GB2312" w:cs="仿宋_GB2312" w:eastAsia="仿宋_GB2312"/>
              </w:rPr>
              <w:t>磋商响应文件是否按照磋商文件要求的格式编写。磋商响应文件的签署、加盖印章是否有效。磋商报价是否未超过采购预算；磋商报价有效期是否符合磋商文件的要求。</w:t>
            </w:r>
          </w:p>
        </w:tc>
        <w:tc>
          <w:tcPr>
            <w:tcW w:type="dxa" w:w="1661"/>
          </w:tcPr>
          <w:p>
            <w:pPr>
              <w:pStyle w:val="null3"/>
            </w:pPr>
            <w:r>
              <w:rPr>
                <w:rFonts w:ascii="仿宋_GB2312" w:hAnsi="仿宋_GB2312" w:cs="仿宋_GB2312" w:eastAsia="仿宋_GB2312"/>
              </w:rPr>
              <w:t>响应文件封面 磋商响应方案.docx 分项报价表.docx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针对本项目编制服务方案，根据服务方案的合理可行程度，综合评审赋分。 服务方案完整细致、合理、针对性强，得（10-15]分； 服务方案内容简单，基本完善、可行，得（5-10]分； 服务方案较差，得[0-5]分。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服务器械、人员的情况</w:t>
            </w:r>
          </w:p>
        </w:tc>
        <w:tc>
          <w:tcPr>
            <w:tcW w:type="dxa" w:w="2492"/>
          </w:tcPr>
          <w:p>
            <w:pPr>
              <w:pStyle w:val="null3"/>
            </w:pPr>
            <w:r>
              <w:rPr>
                <w:rFonts w:ascii="仿宋_GB2312" w:hAnsi="仿宋_GB2312" w:cs="仿宋_GB2312" w:eastAsia="仿宋_GB2312"/>
              </w:rPr>
              <w:t>根据供应商服务器械设施的情况、人员的情况，综合评审赋分。 供应商的服务器械设施种类齐全，先进，人员安排清晰合理、专业性强，得（16-25]分； 供应商的服务器械设施基本齐全，人员具有一定的专业性，得（8-16]分； 供应商的服务器械设施年限长，专业人员较少，得[0-8]分；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服务场地及接待能力</w:t>
            </w:r>
          </w:p>
        </w:tc>
        <w:tc>
          <w:tcPr>
            <w:tcW w:type="dxa" w:w="2492"/>
          </w:tcPr>
          <w:p>
            <w:pPr>
              <w:pStyle w:val="null3"/>
            </w:pPr>
            <w:r>
              <w:rPr>
                <w:rFonts w:ascii="仿宋_GB2312" w:hAnsi="仿宋_GB2312" w:cs="仿宋_GB2312" w:eastAsia="仿宋_GB2312"/>
              </w:rPr>
              <w:t>供应商具备相应的体检场所，独立的检查室等。 供应商的体检场所及检查室齐全，接待能力强，得（14-20]分； 供应商的体检场所及检查室基本齐全，接待能力一般，得（7-14]分； 供应商的体检场所较小、检查室配置较低，接待能力较弱，得[0-7]分。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服务质量保证措施及隐私保护</w:t>
            </w:r>
          </w:p>
        </w:tc>
        <w:tc>
          <w:tcPr>
            <w:tcW w:type="dxa" w:w="2492"/>
          </w:tcPr>
          <w:p>
            <w:pPr>
              <w:pStyle w:val="null3"/>
            </w:pPr>
            <w:r>
              <w:rPr>
                <w:rFonts w:ascii="仿宋_GB2312" w:hAnsi="仿宋_GB2312" w:cs="仿宋_GB2312" w:eastAsia="仿宋_GB2312"/>
              </w:rPr>
              <w:t>根据供应商针对本项目服务质量保障、信息隐私等提供方案及保障措施进行。 服务质量保障、隐私保密措施科学合理、针对性强得（7-10]分； 服务质量保障、保密措施有一定的基本可行、内容笼统得（3-7]分； 方案及措施较差的得[0-3]分。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检后服务质量措施</w:t>
            </w:r>
          </w:p>
        </w:tc>
        <w:tc>
          <w:tcPr>
            <w:tcW w:type="dxa" w:w="2492"/>
          </w:tcPr>
          <w:p>
            <w:pPr>
              <w:pStyle w:val="null3"/>
            </w:pPr>
            <w:r>
              <w:rPr>
                <w:rFonts w:ascii="仿宋_GB2312" w:hAnsi="仿宋_GB2312" w:cs="仿宋_GB2312" w:eastAsia="仿宋_GB2312"/>
              </w:rPr>
              <w:t>根据供应商针对本项目提供检后服务承诺、服务条款及相关措施。 检后服务承诺、服务条款及相关措施科学合理、针对性强得（3-5]分； 检后服务承诺、服务条款内容笼统、基本合理得（1-3]分； 服务承诺及措施较差得[0-1]分。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特殊情况应急预案</w:t>
            </w:r>
          </w:p>
        </w:tc>
        <w:tc>
          <w:tcPr>
            <w:tcW w:type="dxa" w:w="2492"/>
          </w:tcPr>
          <w:p>
            <w:pPr>
              <w:pStyle w:val="null3"/>
            </w:pPr>
            <w:r>
              <w:rPr>
                <w:rFonts w:ascii="仿宋_GB2312" w:hAnsi="仿宋_GB2312" w:cs="仿宋_GB2312" w:eastAsia="仿宋_GB2312"/>
              </w:rPr>
              <w:t>根据供应商提供针对体检过程中应急处理措施及解决方案（包括体检中应急预案、仪器故障或因其他人力不可抗拒因素导致未能按时出具检测报告的补救措施等）进行评审：应急处理措施及解决方案科学合理、针对性强得（3-5]分； 应急处理措施及解决方案内容笼统、基本可行得（1-3]分； 应急处理措施及解决方案较差得[0-1]分。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2022年1月1日起至今，供应商具有类似体检服务项目业绩（以合同复印件为准），每提供一份有效业绩得2分，最多得10分。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1.满足磋商文件实质性要求且最终报价最低的供应商的价格为磋商基准价，其价格分为满分10分。2.磋商总报价得分=(磋商基准价／最终磋商总报价)×10。注：计算分数时四舍五入取小数点后两位。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详见附件：磋商响应方案.docx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