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版本号：2025-HXCT-05620250701001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卫生间改造工程</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2025-HXCT-056</w:t>
      </w:r>
      <w:r>
        <w:br/>
      </w:r>
      <w:r>
        <w:br/>
      </w:r>
      <w:r>
        <w:br/>
      </w:r>
    </w:p>
    <w:p>
      <w:pPr>
        <w:pStyle w:val="null3"/>
        <w:jc w:val="center"/>
        <w:outlineLvl w:val="2"/>
      </w:pPr>
      <w:r>
        <w:rPr>
          <w:rFonts w:ascii="仿宋_GB2312" w:hAnsi="仿宋_GB2312" w:cs="仿宋_GB2312" w:eastAsia="仿宋_GB2312"/>
          <w:sz w:val="28"/>
          <w:b/>
        </w:rPr>
        <w:t>西安雁塔金泰假日花城小学</w:t>
      </w:r>
    </w:p>
    <w:p>
      <w:pPr>
        <w:pStyle w:val="null3"/>
        <w:jc w:val="center"/>
        <w:outlineLvl w:val="2"/>
      </w:pPr>
      <w:r>
        <w:rPr>
          <w:rFonts w:ascii="仿宋_GB2312" w:hAnsi="仿宋_GB2312" w:cs="仿宋_GB2312" w:eastAsia="仿宋_GB2312"/>
          <w:sz w:val="28"/>
          <w:b/>
        </w:rPr>
        <w:t>华夏城投项目管理有限公司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2025年07月01日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华夏城投项目管理有限公司</w:t>
      </w:r>
      <w:r>
        <w:rPr>
          <w:rFonts w:ascii="仿宋_GB2312" w:hAnsi="仿宋_GB2312" w:cs="仿宋_GB2312" w:eastAsia="仿宋_GB2312"/>
        </w:rPr>
        <w:t>（以下简称“代理机构”）受</w:t>
      </w:r>
      <w:r>
        <w:rPr>
          <w:rFonts w:ascii="仿宋_GB2312" w:hAnsi="仿宋_GB2312" w:cs="仿宋_GB2312" w:eastAsia="仿宋_GB2312"/>
        </w:rPr>
        <w:t>西安雁塔金泰假日花城小学</w:t>
      </w:r>
      <w:r>
        <w:rPr>
          <w:rFonts w:ascii="仿宋_GB2312" w:hAnsi="仿宋_GB2312" w:cs="仿宋_GB2312" w:eastAsia="仿宋_GB2312"/>
        </w:rPr>
        <w:t>委托，拟对</w:t>
      </w:r>
      <w:r>
        <w:rPr>
          <w:rFonts w:ascii="仿宋_GB2312" w:hAnsi="仿宋_GB2312" w:cs="仿宋_GB2312" w:eastAsia="仿宋_GB2312"/>
        </w:rPr>
        <w:t>卫生间改造工程</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2025-HXCT-056</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卫生间改造工程</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卫生间改造工程</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采购包1（卫生间改造工程）：属于专门面向中小企业采购。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2、基本资格条件承诺函：根据《西安市雁塔区财政局关于开展政府采购供应商基本资格条件承诺制试点工作的通知》（雁财函[2024]251号），投标人须提供基本资格条件承诺函。</w:t>
      </w:r>
    </w:p>
    <w:p>
      <w:pPr>
        <w:pStyle w:val="null3"/>
      </w:pPr>
      <w:r>
        <w:rPr>
          <w:rFonts w:ascii="仿宋_GB2312" w:hAnsi="仿宋_GB2312" w:cs="仿宋_GB2312" w:eastAsia="仿宋_GB2312"/>
        </w:rPr>
        <w:t>3、身份证明：法定代表人直接参加投标的，须提供法定代表人身份证明；法定代表人授权代表参加投标的，须提供法定代表人授权委托书。</w:t>
      </w:r>
    </w:p>
    <w:p>
      <w:pPr>
        <w:pStyle w:val="null3"/>
      </w:pPr>
      <w:r>
        <w:rPr>
          <w:rFonts w:ascii="仿宋_GB2312" w:hAnsi="仿宋_GB2312" w:cs="仿宋_GB2312" w:eastAsia="仿宋_GB2312"/>
        </w:rPr>
        <w:t>4、资质证书：供应商具备建筑工程施工总承包三级以上资质（含三级），具有有效的国家建设行政主管部门颁发的安全生产许可证。</w:t>
      </w:r>
    </w:p>
    <w:p>
      <w:pPr>
        <w:pStyle w:val="null3"/>
      </w:pPr>
      <w:r>
        <w:rPr>
          <w:rFonts w:ascii="仿宋_GB2312" w:hAnsi="仿宋_GB2312" w:cs="仿宋_GB2312" w:eastAsia="仿宋_GB2312"/>
        </w:rPr>
        <w:t>5、项目经理：供应商拟派项目经理具有建筑工程专业二级以上注册建造师证书（含二级），具备有效的安全生产考核合格证书（建安B证），且无不良信用记录，无在建工程（提供承诺书）。</w:t>
      </w:r>
    </w:p>
    <w:p>
      <w:pPr>
        <w:pStyle w:val="null3"/>
      </w:pPr>
      <w:r>
        <w:rPr>
          <w:rFonts w:ascii="仿宋_GB2312" w:hAnsi="仿宋_GB2312" w:cs="仿宋_GB2312" w:eastAsia="仿宋_GB2312"/>
        </w:rPr>
        <w:t>6、非联合体声明：本项目不接受联合体投标。</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西安雁塔金泰假日花城小学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西安市雁塔区太白南路1号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华夏城投项目管理有限公司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西安市未央区凤城七路长和国际D座26层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13201780511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西安市雁塔区政府采购管理股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王佳</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85241676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采购包1：593,838.82元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代理服务费收费标准：1、参照《国家发展改革委关于进一步放开建设项目专业服务价格的通知》（发改价格〔2015〕299号）的有关规定执行。 代理费缴存账户：开户名称：华夏城投项目管理有限公司，开户银行：招商银行股份有限公司西安城北支行 ，账号：129914077110901（备注：项目名称+代理服务费）2、成交单位在领取成交通知书前，须向采购代理机构一次性支付采购代理服务费。</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西安雁塔金泰假日花城小学</w:t>
      </w:r>
      <w:r>
        <w:rPr>
          <w:rFonts w:ascii="仿宋_GB2312" w:hAnsi="仿宋_GB2312" w:cs="仿宋_GB2312" w:eastAsia="仿宋_GB2312"/>
        </w:rPr>
        <w:t>和</w:t>
      </w:r>
      <w:r>
        <w:rPr>
          <w:rFonts w:ascii="仿宋_GB2312" w:hAnsi="仿宋_GB2312" w:cs="仿宋_GB2312" w:eastAsia="仿宋_GB2312"/>
        </w:rPr>
        <w:t>华夏城投项目管理有限公司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西安雁塔金泰假日花城小学</w:t>
      </w:r>
      <w:r>
        <w:rPr>
          <w:rFonts w:ascii="仿宋_GB2312" w:hAnsi="仿宋_GB2312" w:cs="仿宋_GB2312" w:eastAsia="仿宋_GB2312"/>
        </w:rPr>
        <w:t>负责解释。除上述磋商文件内容，其他内容由</w:t>
      </w:r>
      <w:r>
        <w:rPr>
          <w:rFonts w:ascii="仿宋_GB2312" w:hAnsi="仿宋_GB2312" w:cs="仿宋_GB2312" w:eastAsia="仿宋_GB2312"/>
        </w:rPr>
        <w:t>华夏城投项目管理有限公司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西安雁塔金泰假日花城小学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华夏城投项目管理有限公司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华夏城投项目管理有限公司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华夏城投项目管理有限公司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华夏城投项目管理有限公司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联系人：张工</w:t>
      </w:r>
    </w:p>
    <w:p>
      <w:pPr>
        <w:pStyle w:val="null3"/>
      </w:pPr>
      <w:r>
        <w:rPr>
          <w:rFonts w:ascii="仿宋_GB2312" w:hAnsi="仿宋_GB2312" w:cs="仿宋_GB2312" w:eastAsia="仿宋_GB2312"/>
        </w:rPr>
        <w:t>联系电话：13201780511</w:t>
      </w:r>
    </w:p>
    <w:p>
      <w:pPr>
        <w:pStyle w:val="null3"/>
      </w:pPr>
      <w:r>
        <w:rPr>
          <w:rFonts w:ascii="仿宋_GB2312" w:hAnsi="仿宋_GB2312" w:cs="仿宋_GB2312" w:eastAsia="仿宋_GB2312"/>
        </w:rPr>
        <w:t>地址：西安市未央区凤城七路长和国际D座26层</w:t>
      </w:r>
    </w:p>
    <w:p>
      <w:pPr>
        <w:pStyle w:val="null3"/>
      </w:pPr>
      <w:r>
        <w:rPr>
          <w:rFonts w:ascii="仿宋_GB2312" w:hAnsi="仿宋_GB2312" w:cs="仿宋_GB2312" w:eastAsia="仿宋_GB2312"/>
        </w:rPr>
        <w:t>邮编：710018</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593,838.82</w:t>
      </w:r>
    </w:p>
    <w:p>
      <w:pPr>
        <w:pStyle w:val="null3"/>
      </w:pPr>
      <w:r>
        <w:rPr>
          <w:rFonts w:ascii="仿宋_GB2312" w:hAnsi="仿宋_GB2312" w:cs="仿宋_GB2312" w:eastAsia="仿宋_GB2312"/>
        </w:rPr>
        <w:t>采购包最高限价（元）: 593,838.82</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卫生间改造工程</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593,838.82</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标的名称：卫生间改造工程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20"/>
              <w:jc w:val="both"/>
            </w:pPr>
            <w:r>
              <w:rPr>
                <w:rFonts w:ascii="仿宋_GB2312" w:hAnsi="仿宋_GB2312" w:cs="仿宋_GB2312" w:eastAsia="仿宋_GB2312"/>
                <w:sz w:val="28"/>
                <w:b/>
              </w:rPr>
              <w:t>一、</w:t>
            </w:r>
            <w:r>
              <w:rPr>
                <w:rFonts w:ascii="仿宋_GB2312" w:hAnsi="仿宋_GB2312" w:cs="仿宋_GB2312" w:eastAsia="仿宋_GB2312"/>
                <w:sz w:val="28"/>
                <w:b/>
              </w:rPr>
              <w:t>工程概况</w:t>
            </w:r>
          </w:p>
          <w:p>
            <w:pPr>
              <w:pStyle w:val="null3"/>
              <w:ind w:firstLine="420"/>
              <w:jc w:val="both"/>
            </w:pPr>
            <w:r>
              <w:rPr>
                <w:rFonts w:ascii="仿宋_GB2312" w:hAnsi="仿宋_GB2312" w:cs="仿宋_GB2312" w:eastAsia="仿宋_GB2312"/>
                <w:sz w:val="24"/>
              </w:rPr>
              <w:t>1.</w:t>
            </w:r>
            <w:r>
              <w:rPr>
                <w:rFonts w:ascii="仿宋_GB2312" w:hAnsi="仿宋_GB2312" w:cs="仿宋_GB2312" w:eastAsia="仿宋_GB2312"/>
                <w:sz w:val="24"/>
              </w:rPr>
              <w:t>工程名称：</w:t>
            </w:r>
            <w:r>
              <w:rPr>
                <w:rFonts w:ascii="仿宋_GB2312" w:hAnsi="仿宋_GB2312" w:cs="仿宋_GB2312" w:eastAsia="仿宋_GB2312"/>
                <w:sz w:val="24"/>
              </w:rPr>
              <w:t>西安雁塔金泰假日花城小学卫生间改造工程</w:t>
            </w:r>
          </w:p>
          <w:p>
            <w:pPr>
              <w:pStyle w:val="null3"/>
              <w:ind w:firstLine="420"/>
              <w:jc w:val="both"/>
            </w:pPr>
            <w:r>
              <w:rPr>
                <w:rFonts w:ascii="仿宋_GB2312" w:hAnsi="仿宋_GB2312" w:cs="仿宋_GB2312" w:eastAsia="仿宋_GB2312"/>
                <w:sz w:val="24"/>
              </w:rPr>
              <w:t>2.</w:t>
            </w:r>
            <w:r>
              <w:rPr>
                <w:rFonts w:ascii="仿宋_GB2312" w:hAnsi="仿宋_GB2312" w:cs="仿宋_GB2312" w:eastAsia="仿宋_GB2312"/>
                <w:sz w:val="24"/>
              </w:rPr>
              <w:t>建设地点：</w:t>
            </w:r>
            <w:r>
              <w:rPr>
                <w:rFonts w:ascii="仿宋_GB2312" w:hAnsi="仿宋_GB2312" w:cs="仿宋_GB2312" w:eastAsia="仿宋_GB2312"/>
                <w:sz w:val="24"/>
              </w:rPr>
              <w:t>西安雁塔金泰假日花城小学</w:t>
            </w:r>
            <w:r>
              <w:rPr>
                <w:rFonts w:ascii="仿宋_GB2312" w:hAnsi="仿宋_GB2312" w:cs="仿宋_GB2312" w:eastAsia="仿宋_GB2312"/>
                <w:sz w:val="24"/>
              </w:rPr>
              <w:t>校区</w:t>
            </w:r>
            <w:r>
              <w:rPr>
                <w:rFonts w:ascii="仿宋_GB2312" w:hAnsi="仿宋_GB2312" w:cs="仿宋_GB2312" w:eastAsia="仿宋_GB2312"/>
                <w:sz w:val="24"/>
              </w:rPr>
              <w:t>内</w:t>
            </w:r>
          </w:p>
          <w:p>
            <w:pPr>
              <w:pStyle w:val="null3"/>
              <w:ind w:firstLine="420"/>
              <w:jc w:val="both"/>
            </w:pPr>
            <w:r>
              <w:rPr>
                <w:rFonts w:ascii="仿宋_GB2312" w:hAnsi="仿宋_GB2312" w:cs="仿宋_GB2312" w:eastAsia="仿宋_GB2312"/>
                <w:sz w:val="24"/>
              </w:rPr>
              <w:t>3.</w:t>
            </w:r>
            <w:r>
              <w:rPr>
                <w:rFonts w:ascii="仿宋_GB2312" w:hAnsi="仿宋_GB2312" w:cs="仿宋_GB2312" w:eastAsia="仿宋_GB2312"/>
                <w:sz w:val="24"/>
              </w:rPr>
              <w:t>建设单位：</w:t>
            </w:r>
            <w:r>
              <w:rPr>
                <w:rFonts w:ascii="仿宋_GB2312" w:hAnsi="仿宋_GB2312" w:cs="仿宋_GB2312" w:eastAsia="仿宋_GB2312"/>
                <w:sz w:val="24"/>
              </w:rPr>
              <w:t>西安雁塔金泰假日花城小学</w:t>
            </w:r>
          </w:p>
          <w:p>
            <w:pPr>
              <w:pStyle w:val="null3"/>
              <w:ind w:firstLine="420"/>
              <w:jc w:val="left"/>
            </w:pPr>
            <w:r>
              <w:rPr>
                <w:rFonts w:ascii="仿宋_GB2312" w:hAnsi="仿宋_GB2312" w:cs="仿宋_GB2312" w:eastAsia="仿宋_GB2312"/>
                <w:sz w:val="28"/>
                <w:b/>
              </w:rPr>
              <w:t>二、</w:t>
            </w:r>
            <w:r>
              <w:rPr>
                <w:rFonts w:ascii="仿宋_GB2312" w:hAnsi="仿宋_GB2312" w:cs="仿宋_GB2312" w:eastAsia="仿宋_GB2312"/>
                <w:sz w:val="28"/>
                <w:b/>
              </w:rPr>
              <w:t>编制范围</w:t>
            </w:r>
          </w:p>
          <w:p>
            <w:pPr>
              <w:pStyle w:val="null3"/>
              <w:ind w:firstLine="420"/>
              <w:jc w:val="left"/>
            </w:pPr>
            <w:r>
              <w:rPr>
                <w:rFonts w:ascii="仿宋_GB2312" w:hAnsi="仿宋_GB2312" w:cs="仿宋_GB2312" w:eastAsia="仿宋_GB2312"/>
                <w:sz w:val="24"/>
              </w:rPr>
              <w:t>1.</w:t>
            </w:r>
            <w:r>
              <w:rPr>
                <w:rFonts w:ascii="仿宋_GB2312" w:hAnsi="仿宋_GB2312" w:cs="仿宋_GB2312" w:eastAsia="仿宋_GB2312"/>
                <w:sz w:val="24"/>
              </w:rPr>
              <w:t>主要包括</w:t>
            </w:r>
            <w:r>
              <w:rPr>
                <w:rFonts w:ascii="仿宋_GB2312" w:hAnsi="仿宋_GB2312" w:cs="仿宋_GB2312" w:eastAsia="仿宋_GB2312"/>
                <w:sz w:val="24"/>
              </w:rPr>
              <w:t>：</w:t>
            </w:r>
            <w:r>
              <w:rPr>
                <w:rFonts w:ascii="仿宋_GB2312" w:hAnsi="仿宋_GB2312" w:cs="仿宋_GB2312" w:eastAsia="仿宋_GB2312"/>
                <w:sz w:val="24"/>
              </w:rPr>
              <w:t>西安雁塔金泰假日花城小学卫生间改造</w:t>
            </w:r>
            <w:r>
              <w:rPr>
                <w:rFonts w:ascii="仿宋_GB2312" w:hAnsi="仿宋_GB2312" w:cs="仿宋_GB2312" w:eastAsia="仿宋_GB2312"/>
                <w:sz w:val="24"/>
              </w:rPr>
              <w:t>工程</w:t>
            </w:r>
            <w:r>
              <w:rPr>
                <w:rFonts w:ascii="仿宋_GB2312" w:hAnsi="仿宋_GB2312" w:cs="仿宋_GB2312" w:eastAsia="仿宋_GB2312"/>
                <w:sz w:val="24"/>
              </w:rPr>
              <w:t>全部内容</w:t>
            </w:r>
            <w:r>
              <w:rPr>
                <w:rFonts w:ascii="仿宋_GB2312" w:hAnsi="仿宋_GB2312" w:cs="仿宋_GB2312" w:eastAsia="仿宋_GB2312"/>
                <w:sz w:val="24"/>
              </w:rPr>
              <w:t>。</w:t>
            </w:r>
          </w:p>
          <w:p>
            <w:pPr>
              <w:pStyle w:val="null3"/>
              <w:ind w:firstLine="420"/>
              <w:jc w:val="both"/>
            </w:pPr>
            <w:r>
              <w:rPr>
                <w:rFonts w:ascii="仿宋_GB2312" w:hAnsi="仿宋_GB2312" w:cs="仿宋_GB2312" w:eastAsia="仿宋_GB2312"/>
                <w:sz w:val="28"/>
                <w:b/>
              </w:rPr>
              <w:t>三、</w:t>
            </w:r>
            <w:r>
              <w:rPr>
                <w:rFonts w:ascii="仿宋_GB2312" w:hAnsi="仿宋_GB2312" w:cs="仿宋_GB2312" w:eastAsia="仿宋_GB2312"/>
                <w:sz w:val="28"/>
                <w:b/>
              </w:rPr>
              <w:t>编制依据</w:t>
            </w:r>
          </w:p>
          <w:p>
            <w:pPr>
              <w:pStyle w:val="null3"/>
              <w:ind w:firstLine="420"/>
              <w:jc w:val="both"/>
            </w:pPr>
            <w:r>
              <w:rPr>
                <w:rFonts w:ascii="仿宋_GB2312" w:hAnsi="仿宋_GB2312" w:cs="仿宋_GB2312" w:eastAsia="仿宋_GB2312"/>
                <w:sz w:val="24"/>
              </w:rPr>
              <w:t>1.</w:t>
            </w:r>
            <w:r>
              <w:rPr>
                <w:rFonts w:ascii="仿宋_GB2312" w:hAnsi="仿宋_GB2312" w:cs="仿宋_GB2312" w:eastAsia="仿宋_GB2312"/>
                <w:sz w:val="24"/>
              </w:rPr>
              <w:t>《陕西省建设工程工程量清单计价规则》（</w:t>
            </w:r>
            <w:r>
              <w:rPr>
                <w:rFonts w:ascii="仿宋_GB2312" w:hAnsi="仿宋_GB2312" w:cs="仿宋_GB2312" w:eastAsia="仿宋_GB2312"/>
                <w:sz w:val="24"/>
              </w:rPr>
              <w:t>2009）；</w:t>
            </w:r>
          </w:p>
          <w:p>
            <w:pPr>
              <w:pStyle w:val="null3"/>
              <w:ind w:firstLine="420"/>
              <w:jc w:val="both"/>
            </w:pPr>
            <w:r>
              <w:rPr>
                <w:rFonts w:ascii="仿宋_GB2312" w:hAnsi="仿宋_GB2312" w:cs="仿宋_GB2312" w:eastAsia="仿宋_GB2312"/>
                <w:sz w:val="24"/>
              </w:rPr>
              <w:t>2.</w:t>
            </w:r>
            <w:r>
              <w:rPr>
                <w:rFonts w:ascii="仿宋_GB2312" w:hAnsi="仿宋_GB2312" w:cs="仿宋_GB2312" w:eastAsia="仿宋_GB2312"/>
                <w:sz w:val="24"/>
              </w:rPr>
              <w:t>《陕西省建筑装饰消耗量定额》（</w:t>
            </w:r>
            <w:r>
              <w:rPr>
                <w:rFonts w:ascii="仿宋_GB2312" w:hAnsi="仿宋_GB2312" w:cs="仿宋_GB2312" w:eastAsia="仿宋_GB2312"/>
                <w:sz w:val="24"/>
              </w:rPr>
              <w:t>2004）；</w:t>
            </w:r>
          </w:p>
          <w:p>
            <w:pPr>
              <w:pStyle w:val="null3"/>
              <w:ind w:firstLine="420"/>
              <w:jc w:val="both"/>
            </w:pPr>
            <w:r>
              <w:rPr>
                <w:rFonts w:ascii="仿宋_GB2312" w:hAnsi="仿宋_GB2312" w:cs="仿宋_GB2312" w:eastAsia="仿宋_GB2312"/>
                <w:sz w:val="24"/>
              </w:rPr>
              <w:t>3.</w:t>
            </w:r>
            <w:r>
              <w:rPr>
                <w:rFonts w:ascii="仿宋_GB2312" w:hAnsi="仿宋_GB2312" w:cs="仿宋_GB2312" w:eastAsia="仿宋_GB2312"/>
                <w:sz w:val="24"/>
              </w:rPr>
              <w:t>《陕西省安装工程消耗量定额》（</w:t>
            </w:r>
            <w:r>
              <w:rPr>
                <w:rFonts w:ascii="仿宋_GB2312" w:hAnsi="仿宋_GB2312" w:cs="仿宋_GB2312" w:eastAsia="仿宋_GB2312"/>
                <w:sz w:val="24"/>
              </w:rPr>
              <w:t>2004）；</w:t>
            </w:r>
          </w:p>
          <w:p>
            <w:pPr>
              <w:pStyle w:val="null3"/>
              <w:ind w:firstLine="420"/>
              <w:jc w:val="both"/>
            </w:pPr>
            <w:r>
              <w:rPr>
                <w:rFonts w:ascii="仿宋_GB2312" w:hAnsi="仿宋_GB2312" w:cs="仿宋_GB2312" w:eastAsia="仿宋_GB2312"/>
                <w:sz w:val="24"/>
              </w:rPr>
              <w:t>4.</w:t>
            </w:r>
            <w:r>
              <w:rPr>
                <w:rFonts w:ascii="仿宋_GB2312" w:hAnsi="仿宋_GB2312" w:cs="仿宋_GB2312" w:eastAsia="仿宋_GB2312"/>
                <w:sz w:val="24"/>
              </w:rPr>
              <w:t>《陕西省装配式建筑工程消耗量定额》；</w:t>
            </w:r>
          </w:p>
          <w:p>
            <w:pPr>
              <w:pStyle w:val="null3"/>
              <w:ind w:firstLine="420"/>
              <w:jc w:val="both"/>
            </w:pPr>
            <w:r>
              <w:rPr>
                <w:rFonts w:ascii="仿宋_GB2312" w:hAnsi="仿宋_GB2312" w:cs="仿宋_GB2312" w:eastAsia="仿宋_GB2312"/>
                <w:sz w:val="24"/>
              </w:rPr>
              <w:t>5.</w:t>
            </w:r>
            <w:r>
              <w:rPr>
                <w:rFonts w:ascii="仿宋_GB2312" w:hAnsi="仿宋_GB2312" w:cs="仿宋_GB2312" w:eastAsia="仿宋_GB2312"/>
                <w:sz w:val="24"/>
              </w:rPr>
              <w:t>《陕西省建筑装饰工程价目表》（</w:t>
            </w:r>
            <w:r>
              <w:rPr>
                <w:rFonts w:ascii="仿宋_GB2312" w:hAnsi="仿宋_GB2312" w:cs="仿宋_GB2312" w:eastAsia="仿宋_GB2312"/>
                <w:sz w:val="24"/>
              </w:rPr>
              <w:t>2009）；</w:t>
            </w:r>
          </w:p>
          <w:p>
            <w:pPr>
              <w:pStyle w:val="null3"/>
              <w:ind w:firstLine="420"/>
              <w:jc w:val="both"/>
            </w:pPr>
            <w:r>
              <w:rPr>
                <w:rFonts w:ascii="仿宋_GB2312" w:hAnsi="仿宋_GB2312" w:cs="仿宋_GB2312" w:eastAsia="仿宋_GB2312"/>
                <w:sz w:val="24"/>
              </w:rPr>
              <w:t>6.</w:t>
            </w:r>
            <w:r>
              <w:rPr>
                <w:rFonts w:ascii="仿宋_GB2312" w:hAnsi="仿宋_GB2312" w:cs="仿宋_GB2312" w:eastAsia="仿宋_GB2312"/>
                <w:sz w:val="24"/>
              </w:rPr>
              <w:t>《陕西省安装工程价目表》（</w:t>
            </w:r>
            <w:r>
              <w:rPr>
                <w:rFonts w:ascii="仿宋_GB2312" w:hAnsi="仿宋_GB2312" w:cs="仿宋_GB2312" w:eastAsia="仿宋_GB2312"/>
                <w:sz w:val="24"/>
              </w:rPr>
              <w:t>2009）</w:t>
            </w:r>
          </w:p>
          <w:p>
            <w:pPr>
              <w:pStyle w:val="null3"/>
              <w:ind w:firstLine="420"/>
              <w:jc w:val="both"/>
            </w:pPr>
            <w:r>
              <w:rPr>
                <w:rFonts w:ascii="仿宋_GB2312" w:hAnsi="仿宋_GB2312" w:cs="仿宋_GB2312" w:eastAsia="仿宋_GB2312"/>
                <w:sz w:val="24"/>
              </w:rPr>
              <w:t>7.</w:t>
            </w:r>
            <w:r>
              <w:rPr>
                <w:rFonts w:ascii="仿宋_GB2312" w:hAnsi="仿宋_GB2312" w:cs="仿宋_GB2312" w:eastAsia="仿宋_GB2312"/>
                <w:sz w:val="24"/>
              </w:rPr>
              <w:t>《陕西省建设工</w:t>
            </w:r>
            <w:r>
              <w:rPr>
                <w:rFonts w:ascii="仿宋_GB2312" w:hAnsi="仿宋_GB2312" w:cs="仿宋_GB2312" w:eastAsia="仿宋_GB2312"/>
                <w:sz w:val="24"/>
              </w:rPr>
              <w:t>程工程量清单计价费率》（</w:t>
            </w:r>
            <w:r>
              <w:rPr>
                <w:rFonts w:ascii="仿宋_GB2312" w:hAnsi="仿宋_GB2312" w:cs="仿宋_GB2312" w:eastAsia="仿宋_GB2312"/>
                <w:sz w:val="24"/>
              </w:rPr>
              <w:t>2009）；</w:t>
            </w:r>
          </w:p>
          <w:p>
            <w:pPr>
              <w:pStyle w:val="null3"/>
              <w:ind w:firstLine="420"/>
              <w:jc w:val="both"/>
            </w:pPr>
            <w:r>
              <w:rPr>
                <w:rFonts w:ascii="仿宋_GB2312" w:hAnsi="仿宋_GB2312" w:cs="仿宋_GB2312" w:eastAsia="仿宋_GB2312"/>
                <w:sz w:val="24"/>
              </w:rPr>
              <w:t>8.</w:t>
            </w:r>
            <w:r>
              <w:rPr>
                <w:rFonts w:ascii="仿宋_GB2312" w:hAnsi="仿宋_GB2312" w:cs="仿宋_GB2312" w:eastAsia="仿宋_GB2312"/>
                <w:sz w:val="24"/>
              </w:rPr>
              <w:t>建设方提供的</w:t>
            </w:r>
            <w:r>
              <w:rPr>
                <w:rFonts w:ascii="仿宋_GB2312" w:hAnsi="仿宋_GB2312" w:cs="仿宋_GB2312" w:eastAsia="仿宋_GB2312"/>
                <w:sz w:val="24"/>
              </w:rPr>
              <w:t>改造</w:t>
            </w:r>
            <w:r>
              <w:rPr>
                <w:rFonts w:ascii="仿宋_GB2312" w:hAnsi="仿宋_GB2312" w:cs="仿宋_GB2312" w:eastAsia="仿宋_GB2312"/>
                <w:sz w:val="24"/>
              </w:rPr>
              <w:t>方案；</w:t>
            </w:r>
          </w:p>
          <w:p>
            <w:pPr>
              <w:pStyle w:val="null3"/>
              <w:ind w:firstLine="420"/>
              <w:jc w:val="both"/>
            </w:pPr>
            <w:r>
              <w:rPr>
                <w:rFonts w:ascii="仿宋_GB2312" w:hAnsi="仿宋_GB2312" w:cs="仿宋_GB2312" w:eastAsia="仿宋_GB2312"/>
                <w:sz w:val="24"/>
              </w:rPr>
              <w:t>9.</w:t>
            </w:r>
            <w:r>
              <w:rPr>
                <w:rFonts w:ascii="仿宋_GB2312" w:hAnsi="仿宋_GB2312" w:cs="仿宋_GB2312" w:eastAsia="仿宋_GB2312"/>
                <w:sz w:val="24"/>
              </w:rPr>
              <w:t>《关于调整我省建设工程计价依据的通知》（陕建发</w:t>
            </w:r>
            <w:r>
              <w:rPr>
                <w:rFonts w:ascii="仿宋_GB2312" w:hAnsi="仿宋_GB2312" w:cs="仿宋_GB2312" w:eastAsia="仿宋_GB2312"/>
                <w:sz w:val="24"/>
              </w:rPr>
              <w:t>[2019]45号）；</w:t>
            </w:r>
          </w:p>
          <w:p>
            <w:pPr>
              <w:pStyle w:val="null3"/>
              <w:ind w:firstLine="420"/>
              <w:jc w:val="both"/>
            </w:pPr>
            <w:r>
              <w:rPr>
                <w:rFonts w:ascii="仿宋_GB2312" w:hAnsi="仿宋_GB2312" w:cs="仿宋_GB2312" w:eastAsia="仿宋_GB2312"/>
                <w:sz w:val="24"/>
              </w:rPr>
              <w:t>10.</w:t>
            </w:r>
            <w:r>
              <w:rPr>
                <w:rFonts w:ascii="仿宋_GB2312" w:hAnsi="仿宋_GB2312" w:cs="仿宋_GB2312" w:eastAsia="仿宋_GB2312"/>
                <w:sz w:val="24"/>
              </w:rPr>
              <w:t>《关于发布我省落实建筑工人实名制管理计价依据的通知》陕建发（</w:t>
            </w:r>
            <w:r>
              <w:rPr>
                <w:rFonts w:ascii="仿宋_GB2312" w:hAnsi="仿宋_GB2312" w:cs="仿宋_GB2312" w:eastAsia="仿宋_GB2312"/>
                <w:sz w:val="24"/>
              </w:rPr>
              <w:t>2019）1246号；</w:t>
            </w:r>
          </w:p>
          <w:p>
            <w:pPr>
              <w:pStyle w:val="null3"/>
              <w:ind w:firstLine="420"/>
              <w:jc w:val="both"/>
            </w:pPr>
            <w:r>
              <w:rPr>
                <w:rFonts w:ascii="仿宋_GB2312" w:hAnsi="仿宋_GB2312" w:cs="仿宋_GB2312" w:eastAsia="仿宋_GB2312"/>
                <w:sz w:val="24"/>
              </w:rPr>
              <w:t>11.</w:t>
            </w:r>
            <w:r>
              <w:rPr>
                <w:rFonts w:ascii="仿宋_GB2312" w:hAnsi="仿宋_GB2312" w:cs="仿宋_GB2312" w:eastAsia="仿宋_GB2312"/>
                <w:sz w:val="24"/>
              </w:rPr>
              <w:t>《关于建筑施工安全生产责任保险费用计价的通知》（陕建发﹝</w:t>
            </w:r>
            <w:r>
              <w:rPr>
                <w:rFonts w:ascii="仿宋_GB2312" w:hAnsi="仿宋_GB2312" w:cs="仿宋_GB2312" w:eastAsia="仿宋_GB2312"/>
                <w:sz w:val="24"/>
              </w:rPr>
              <w:t>2020﹞1097号文件）；</w:t>
            </w:r>
          </w:p>
          <w:p>
            <w:pPr>
              <w:pStyle w:val="null3"/>
              <w:ind w:firstLine="420"/>
              <w:jc w:val="both"/>
            </w:pPr>
            <w:r>
              <w:rPr>
                <w:rFonts w:ascii="仿宋_GB2312" w:hAnsi="仿宋_GB2312" w:cs="仿宋_GB2312" w:eastAsia="仿宋_GB2312"/>
                <w:sz w:val="24"/>
              </w:rPr>
              <w:t>12.</w:t>
            </w:r>
            <w:r>
              <w:rPr>
                <w:rFonts w:ascii="仿宋_GB2312" w:hAnsi="仿宋_GB2312" w:cs="仿宋_GB2312" w:eastAsia="仿宋_GB2312"/>
                <w:sz w:val="24"/>
              </w:rPr>
              <w:t>《关于全省统一停止收缴建筑业劳保费用的通知》陕建发（</w:t>
            </w:r>
            <w:r>
              <w:rPr>
                <w:rFonts w:ascii="仿宋_GB2312" w:hAnsi="仿宋_GB2312" w:cs="仿宋_GB2312" w:eastAsia="仿宋_GB2312"/>
                <w:sz w:val="24"/>
              </w:rPr>
              <w:t>2021）1021号文件；</w:t>
            </w:r>
          </w:p>
          <w:p>
            <w:pPr>
              <w:pStyle w:val="null3"/>
              <w:ind w:firstLine="420"/>
              <w:jc w:val="both"/>
            </w:pPr>
            <w:r>
              <w:rPr>
                <w:rFonts w:ascii="仿宋_GB2312" w:hAnsi="仿宋_GB2312" w:cs="仿宋_GB2312" w:eastAsia="仿宋_GB2312"/>
                <w:sz w:val="24"/>
              </w:rPr>
              <w:t>13.</w:t>
            </w:r>
            <w:r>
              <w:rPr>
                <w:rFonts w:ascii="仿宋_GB2312" w:hAnsi="仿宋_GB2312" w:cs="仿宋_GB2312" w:eastAsia="仿宋_GB2312"/>
                <w:sz w:val="24"/>
              </w:rPr>
              <w:t>《关于调整房屋建筑和市政基础设施工程工程量清单计价综合人工单价的通知》陕建发〔</w:t>
            </w:r>
            <w:r>
              <w:rPr>
                <w:rFonts w:ascii="仿宋_GB2312" w:hAnsi="仿宋_GB2312" w:cs="仿宋_GB2312" w:eastAsia="仿宋_GB2312"/>
                <w:sz w:val="24"/>
              </w:rPr>
              <w:t>2021〕1097号</w:t>
            </w:r>
            <w:r>
              <w:rPr>
                <w:rFonts w:ascii="仿宋_GB2312" w:hAnsi="仿宋_GB2312" w:cs="仿宋_GB2312" w:eastAsia="仿宋_GB2312"/>
                <w:sz w:val="24"/>
              </w:rPr>
              <w:t>文件；</w:t>
            </w:r>
          </w:p>
          <w:p>
            <w:pPr>
              <w:pStyle w:val="null3"/>
              <w:ind w:firstLine="420"/>
              <w:jc w:val="both"/>
            </w:pPr>
            <w:r>
              <w:rPr>
                <w:rFonts w:ascii="仿宋_GB2312" w:hAnsi="仿宋_GB2312" w:cs="仿宋_GB2312" w:eastAsia="仿宋_GB2312"/>
                <w:sz w:val="24"/>
              </w:rPr>
              <w:t>14.</w:t>
            </w:r>
            <w:r>
              <w:rPr>
                <w:rFonts w:ascii="仿宋_GB2312" w:hAnsi="仿宋_GB2312" w:cs="仿宋_GB2312" w:eastAsia="仿宋_GB2312"/>
                <w:sz w:val="24"/>
              </w:rPr>
              <w:t>依据常规施工方案编制；</w:t>
            </w:r>
          </w:p>
          <w:p>
            <w:pPr>
              <w:pStyle w:val="null3"/>
              <w:ind w:firstLine="420"/>
              <w:jc w:val="both"/>
            </w:pPr>
            <w:r>
              <w:rPr>
                <w:rFonts w:ascii="仿宋_GB2312" w:hAnsi="仿宋_GB2312" w:cs="仿宋_GB2312" w:eastAsia="仿宋_GB2312"/>
                <w:sz w:val="24"/>
              </w:rPr>
              <w:t>15.</w:t>
            </w:r>
            <w:r>
              <w:rPr>
                <w:rFonts w:ascii="仿宋_GB2312" w:hAnsi="仿宋_GB2312" w:cs="仿宋_GB2312" w:eastAsia="仿宋_GB2312"/>
                <w:sz w:val="24"/>
              </w:rPr>
              <w:t>根据有关图集等进行编制</w:t>
            </w:r>
            <w:r>
              <w:rPr>
                <w:rFonts w:ascii="仿宋_GB2312" w:hAnsi="仿宋_GB2312" w:cs="仿宋_GB2312" w:eastAsia="仿宋_GB2312"/>
                <w:sz w:val="24"/>
              </w:rPr>
              <w:t>；</w:t>
            </w:r>
          </w:p>
          <w:p>
            <w:pPr>
              <w:pStyle w:val="null3"/>
              <w:ind w:firstLine="420"/>
              <w:jc w:val="both"/>
            </w:pPr>
            <w:r>
              <w:rPr>
                <w:rFonts w:ascii="仿宋_GB2312" w:hAnsi="仿宋_GB2312" w:cs="仿宋_GB2312" w:eastAsia="仿宋_GB2312"/>
                <w:sz w:val="28"/>
                <w:b/>
              </w:rPr>
              <w:t>四、</w:t>
            </w:r>
            <w:r>
              <w:rPr>
                <w:rFonts w:ascii="仿宋_GB2312" w:hAnsi="仿宋_GB2312" w:cs="仿宋_GB2312" w:eastAsia="仿宋_GB2312"/>
                <w:sz w:val="28"/>
                <w:b/>
              </w:rPr>
              <w:t>其他说明</w:t>
            </w:r>
          </w:p>
          <w:p>
            <w:pPr>
              <w:pStyle w:val="null3"/>
              <w:ind w:firstLine="420"/>
              <w:jc w:val="both"/>
            </w:pPr>
            <w:r>
              <w:rPr>
                <w:rFonts w:ascii="仿宋_GB2312" w:hAnsi="仿宋_GB2312" w:cs="仿宋_GB2312" w:eastAsia="仿宋_GB2312"/>
                <w:sz w:val="24"/>
              </w:rPr>
              <w:t>1.</w:t>
            </w:r>
            <w:r>
              <w:rPr>
                <w:rFonts w:ascii="仿宋_GB2312" w:hAnsi="仿宋_GB2312" w:cs="仿宋_GB2312" w:eastAsia="仿宋_GB2312"/>
                <w:sz w:val="24"/>
              </w:rPr>
              <w:t>混凝土采用商品混凝土，砂浆采用预拌砂浆</w:t>
            </w:r>
            <w:r>
              <w:rPr>
                <w:rFonts w:ascii="仿宋_GB2312" w:hAnsi="仿宋_GB2312" w:cs="仿宋_GB2312" w:eastAsia="仿宋_GB2312"/>
                <w:sz w:val="24"/>
              </w:rPr>
              <w:t>.</w:t>
            </w:r>
          </w:p>
          <w:p>
            <w:pPr>
              <w:pStyle w:val="null3"/>
              <w:ind w:firstLine="420"/>
              <w:jc w:val="both"/>
            </w:pPr>
            <w:r>
              <w:rPr>
                <w:rFonts w:ascii="仿宋_GB2312" w:hAnsi="仿宋_GB2312" w:cs="仿宋_GB2312" w:eastAsia="仿宋_GB2312"/>
                <w:sz w:val="24"/>
              </w:rPr>
              <w:t>2.</w:t>
            </w:r>
            <w:r>
              <w:rPr>
                <w:rFonts w:ascii="仿宋_GB2312" w:hAnsi="仿宋_GB2312" w:cs="仿宋_GB2312" w:eastAsia="仿宋_GB2312"/>
                <w:sz w:val="24"/>
              </w:rPr>
              <w:t>采用广联达计价软件</w:t>
            </w:r>
            <w:r>
              <w:rPr>
                <w:rFonts w:ascii="仿宋_GB2312" w:hAnsi="仿宋_GB2312" w:cs="仿宋_GB2312" w:eastAsia="仿宋_GB2312"/>
                <w:sz w:val="24"/>
              </w:rPr>
              <w:t>GCCP6.0（6.4</w:t>
            </w:r>
            <w:r>
              <w:rPr>
                <w:rFonts w:ascii="仿宋_GB2312" w:hAnsi="仿宋_GB2312" w:cs="仿宋_GB2312" w:eastAsia="仿宋_GB2312"/>
                <w:sz w:val="24"/>
              </w:rPr>
              <w:t>1</w:t>
            </w:r>
            <w:r>
              <w:rPr>
                <w:rFonts w:ascii="仿宋_GB2312" w:hAnsi="仿宋_GB2312" w:cs="仿宋_GB2312" w:eastAsia="仿宋_GB2312"/>
                <w:sz w:val="24"/>
              </w:rPr>
              <w:t>00.23.</w:t>
            </w:r>
            <w:r>
              <w:rPr>
                <w:rFonts w:ascii="仿宋_GB2312" w:hAnsi="仿宋_GB2312" w:cs="仿宋_GB2312" w:eastAsia="仿宋_GB2312"/>
                <w:sz w:val="24"/>
              </w:rPr>
              <w:t>122</w:t>
            </w:r>
            <w:r>
              <w:rPr>
                <w:rFonts w:ascii="仿宋_GB2312" w:hAnsi="仿宋_GB2312" w:cs="仿宋_GB2312" w:eastAsia="仿宋_GB2312"/>
                <w:sz w:val="24"/>
              </w:rPr>
              <w:t>版本）。</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达到国家现行行业施工验收规范“合格”标准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1、工期：35天 2、付款方式：工程验收合格且出具正式项目竣工结算审计报告后，一次性支付审定造价的97%，留审定造价3%作为质保金，质保期满后无质量问题一次性无息退还；（付款方式以此条为准） 3、质保期：1年</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上传相应的证明材料。</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根据《西安市雁塔区财政局关于开展政府采购供应商基本资格条件承诺制试点工作的通知》（雁财函[2024]251号），投标人须提供基本资格条件承诺函。</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上传相应的证明材料。</w:t>
            </w:r>
          </w:p>
        </w:tc>
        <w:tc>
          <w:tcPr>
            <w:tcW w:type="dxa" w:w="1661"/>
          </w:tcPr>
          <w:p>
            <w:pPr>
              <w:pStyle w:val="null3"/>
            </w:pPr>
            <w:r>
              <w:rPr>
                <w:rFonts w:ascii="仿宋_GB2312" w:hAnsi="仿宋_GB2312" w:cs="仿宋_GB2312" w:eastAsia="仿宋_GB2312"/>
              </w:rPr>
              <w:t>供应商应提交的相关资格证明材料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基本资格条件承诺函</w:t>
            </w:r>
          </w:p>
        </w:tc>
        <w:tc>
          <w:tcPr>
            <w:tcW w:type="dxa" w:w="3322"/>
          </w:tcPr>
          <w:p>
            <w:pPr>
              <w:pStyle w:val="null3"/>
            </w:pPr>
            <w:r>
              <w:rPr>
                <w:rFonts w:ascii="仿宋_GB2312" w:hAnsi="仿宋_GB2312" w:cs="仿宋_GB2312" w:eastAsia="仿宋_GB2312"/>
              </w:rPr>
              <w:t>根据《西安市雁塔区财政局关于开展政府采购供应商基本资格条件承诺制试点工作的通知》（雁财函[2024]251号），投标人须提供基本资格条件承诺函。</w:t>
            </w:r>
          </w:p>
        </w:tc>
        <w:tc>
          <w:tcPr>
            <w:tcW w:type="dxa" w:w="1661"/>
          </w:tcPr>
          <w:p>
            <w:pPr>
              <w:pStyle w:val="null3"/>
            </w:pPr>
            <w:r>
              <w:rPr>
                <w:rFonts w:ascii="仿宋_GB2312" w:hAnsi="仿宋_GB2312" w:cs="仿宋_GB2312" w:eastAsia="仿宋_GB2312"/>
              </w:rPr>
              <w:t>基本资格条件承诺函.docx 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身份证明</w:t>
            </w:r>
          </w:p>
        </w:tc>
        <w:tc>
          <w:tcPr>
            <w:tcW w:type="dxa" w:w="3322"/>
          </w:tcPr>
          <w:p>
            <w:pPr>
              <w:pStyle w:val="null3"/>
            </w:pPr>
            <w:r>
              <w:rPr>
                <w:rFonts w:ascii="仿宋_GB2312" w:hAnsi="仿宋_GB2312" w:cs="仿宋_GB2312" w:eastAsia="仿宋_GB2312"/>
              </w:rPr>
              <w:t>法定代表人直接参加投标的，须提供法定代表人身份证明；法定代表人授权代表参加投标的，须提供法定代表人授权委托书。</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资质证书</w:t>
            </w:r>
          </w:p>
        </w:tc>
        <w:tc>
          <w:tcPr>
            <w:tcW w:type="dxa" w:w="3322"/>
          </w:tcPr>
          <w:p>
            <w:pPr>
              <w:pStyle w:val="null3"/>
            </w:pPr>
            <w:r>
              <w:rPr>
                <w:rFonts w:ascii="仿宋_GB2312" w:hAnsi="仿宋_GB2312" w:cs="仿宋_GB2312" w:eastAsia="仿宋_GB2312"/>
              </w:rPr>
              <w:t>供应商具备建筑工程施工总承包三级以上资质（含三级），具有有效的国家建设行政主管部门颁发的安全生产许可证。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项目经理</w:t>
            </w:r>
          </w:p>
        </w:tc>
        <w:tc>
          <w:tcPr>
            <w:tcW w:type="dxa" w:w="3322"/>
          </w:tcPr>
          <w:p>
            <w:pPr>
              <w:pStyle w:val="null3"/>
            </w:pPr>
            <w:r>
              <w:rPr>
                <w:rFonts w:ascii="仿宋_GB2312" w:hAnsi="仿宋_GB2312" w:cs="仿宋_GB2312" w:eastAsia="仿宋_GB2312"/>
              </w:rPr>
              <w:t>供应商拟派项目经理具有建筑工程专业二级以上注册建造师证书（含二级），具备有效的安全生产考核合格证书（建安B证），且无不良信用记录，无在建工程（提供承诺书）。</w:t>
            </w:r>
          </w:p>
        </w:tc>
        <w:tc>
          <w:tcPr>
            <w:tcW w:type="dxa" w:w="1661"/>
          </w:tcPr>
          <w:p>
            <w:pPr>
              <w:pStyle w:val="null3"/>
            </w:pPr>
            <w:r>
              <w:rPr>
                <w:rFonts w:ascii="仿宋_GB2312" w:hAnsi="仿宋_GB2312" w:cs="仿宋_GB2312" w:eastAsia="仿宋_GB2312"/>
              </w:rPr>
              <w:t>项目管理机构组成表 供应商应提交的相关资格证明材料 主要人员简历表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非联合体声明</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应符合磋商文件的格式要求。</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文件格式</w:t>
            </w:r>
          </w:p>
        </w:tc>
        <w:tc>
          <w:tcPr>
            <w:tcW w:type="dxa" w:w="3322"/>
          </w:tcPr>
          <w:p>
            <w:pPr>
              <w:pStyle w:val="null3"/>
            </w:pPr>
            <w:r>
              <w:rPr>
                <w:rFonts w:ascii="仿宋_GB2312" w:hAnsi="仿宋_GB2312" w:cs="仿宋_GB2312" w:eastAsia="仿宋_GB2312"/>
              </w:rPr>
              <w:t>应符合磋商文件的格式要求，可以扩充。</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第一次磋商报价</w:t>
            </w:r>
          </w:p>
        </w:tc>
        <w:tc>
          <w:tcPr>
            <w:tcW w:type="dxa" w:w="3322"/>
          </w:tcPr>
          <w:p>
            <w:pPr>
              <w:pStyle w:val="null3"/>
            </w:pPr>
            <w:r>
              <w:rPr>
                <w:rFonts w:ascii="仿宋_GB2312" w:hAnsi="仿宋_GB2312" w:cs="仿宋_GB2312" w:eastAsia="仿宋_GB2312"/>
              </w:rPr>
              <w:t>第一次磋商报价不超过最高限价。</w:t>
            </w:r>
          </w:p>
        </w:tc>
        <w:tc>
          <w:tcPr>
            <w:tcW w:type="dxa" w:w="1661"/>
          </w:tcPr>
          <w:p>
            <w:pPr>
              <w:pStyle w:val="null3"/>
            </w:pPr>
            <w:r>
              <w:rPr>
                <w:rFonts w:ascii="仿宋_GB2312" w:hAnsi="仿宋_GB2312" w:cs="仿宋_GB2312" w:eastAsia="仿宋_GB2312"/>
              </w:rPr>
              <w:t>响应文件封面 报价函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应符合磋商文件的要求。</w:t>
            </w:r>
          </w:p>
        </w:tc>
        <w:tc>
          <w:tcPr>
            <w:tcW w:type="dxa" w:w="1661"/>
          </w:tcPr>
          <w:p>
            <w:pPr>
              <w:pStyle w:val="null3"/>
            </w:pPr>
            <w:r>
              <w:rPr>
                <w:rFonts w:ascii="仿宋_GB2312" w:hAnsi="仿宋_GB2312" w:cs="仿宋_GB2312" w:eastAsia="仿宋_GB2312"/>
              </w:rPr>
              <w:t>响应文件封面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已标价清单</w:t>
            </w:r>
          </w:p>
        </w:tc>
        <w:tc>
          <w:tcPr>
            <w:tcW w:type="dxa" w:w="3322"/>
          </w:tcPr>
          <w:p>
            <w:pPr>
              <w:pStyle w:val="null3"/>
            </w:pPr>
            <w:r>
              <w:rPr>
                <w:rFonts w:ascii="仿宋_GB2312" w:hAnsi="仿宋_GB2312" w:cs="仿宋_GB2312" w:eastAsia="仿宋_GB2312"/>
              </w:rPr>
              <w:t>应符合磋商文件给出的工程量清单范围和数量。</w:t>
            </w:r>
          </w:p>
        </w:tc>
        <w:tc>
          <w:tcPr>
            <w:tcW w:type="dxa" w:w="1661"/>
          </w:tcPr>
          <w:p>
            <w:pPr>
              <w:pStyle w:val="null3"/>
            </w:pPr>
            <w:r>
              <w:rPr>
                <w:rFonts w:ascii="仿宋_GB2312" w:hAnsi="仿宋_GB2312" w:cs="仿宋_GB2312" w:eastAsia="仿宋_GB2312"/>
              </w:rPr>
              <w:t>响应文件封面 已标价工程量清单</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施工方案及技术措施</w:t>
            </w:r>
          </w:p>
        </w:tc>
        <w:tc>
          <w:tcPr>
            <w:tcW w:type="dxa" w:w="2492"/>
          </w:tcPr>
          <w:p>
            <w:pPr>
              <w:pStyle w:val="null3"/>
            </w:pPr>
            <w:r>
              <w:rPr>
                <w:rFonts w:ascii="仿宋_GB2312" w:hAnsi="仿宋_GB2312" w:cs="仿宋_GB2312" w:eastAsia="仿宋_GB2312"/>
              </w:rPr>
              <w:t>方案合理、技术措施得当计7分；方案基本合理、技术措施一般计4分；合理性较差技术措施不得当得1分；未提供不得分。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确保工程质量的技术组织措施</w:t>
            </w:r>
          </w:p>
        </w:tc>
        <w:tc>
          <w:tcPr>
            <w:tcW w:type="dxa" w:w="2492"/>
          </w:tcPr>
          <w:p>
            <w:pPr>
              <w:pStyle w:val="null3"/>
            </w:pPr>
            <w:r>
              <w:rPr>
                <w:rFonts w:ascii="仿宋_GB2312" w:hAnsi="仿宋_GB2312" w:cs="仿宋_GB2312" w:eastAsia="仿宋_GB2312"/>
              </w:rPr>
              <w:t>质量管理体系完善，技术组织措施合理、可行计7分；质量管理体系较完善、技术组织措施一般，不够明确计4分；质量管理体系较为可行、针对性不强、内容简单计1分；未提供不得分。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确保安全生产的技术组织措施</w:t>
            </w:r>
          </w:p>
        </w:tc>
        <w:tc>
          <w:tcPr>
            <w:tcW w:type="dxa" w:w="2492"/>
          </w:tcPr>
          <w:p>
            <w:pPr>
              <w:pStyle w:val="null3"/>
            </w:pPr>
            <w:r>
              <w:rPr>
                <w:rFonts w:ascii="仿宋_GB2312" w:hAnsi="仿宋_GB2312" w:cs="仿宋_GB2312" w:eastAsia="仿宋_GB2312"/>
              </w:rPr>
              <w:t>安全管理体系健全，保证措施合理、可行计7分；安全管理体系较健全，保障措施一般计4分；安全管理体系较为可行、针对性不强、内容简单计1分；未提供不得分。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文明施工、环境保护措施、施工现场扬尘污染防治措施</w:t>
            </w:r>
          </w:p>
        </w:tc>
        <w:tc>
          <w:tcPr>
            <w:tcW w:type="dxa" w:w="2492"/>
          </w:tcPr>
          <w:p>
            <w:pPr>
              <w:pStyle w:val="null3"/>
            </w:pPr>
            <w:r>
              <w:rPr>
                <w:rFonts w:ascii="仿宋_GB2312" w:hAnsi="仿宋_GB2312" w:cs="仿宋_GB2312" w:eastAsia="仿宋_GB2312"/>
              </w:rPr>
              <w:t>各项措施合理、保障有力计7分；各项措施较健全，针对性一般计4分；各项措施较为可行、针对性不强、内容简单计1分；未提供不得分。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施工进度计划及保证措施</w:t>
            </w:r>
          </w:p>
        </w:tc>
        <w:tc>
          <w:tcPr>
            <w:tcW w:type="dxa" w:w="2492"/>
          </w:tcPr>
          <w:p>
            <w:pPr>
              <w:pStyle w:val="null3"/>
            </w:pPr>
            <w:r>
              <w:rPr>
                <w:rFonts w:ascii="仿宋_GB2312" w:hAnsi="仿宋_GB2312" w:cs="仿宋_GB2312" w:eastAsia="仿宋_GB2312"/>
              </w:rPr>
              <w:t>具有明确的施工进度表，进度计划合理、保证措施有力计7分；施工进度计划较清晰、措施一般计4分；施工进度计划不清晰、措施简单计1分；未提供不得分。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施工机械配备和材料投入计划</w:t>
            </w:r>
          </w:p>
        </w:tc>
        <w:tc>
          <w:tcPr>
            <w:tcW w:type="dxa" w:w="2492"/>
          </w:tcPr>
          <w:p>
            <w:pPr>
              <w:pStyle w:val="null3"/>
            </w:pPr>
            <w:r>
              <w:rPr>
                <w:rFonts w:ascii="仿宋_GB2312" w:hAnsi="仿宋_GB2312" w:cs="仿宋_GB2312" w:eastAsia="仿宋_GB2312"/>
              </w:rPr>
              <w:t>施工现场机械配备和材料投入计划合理，符合施工实际需求计7分；施工机械配备和材料投入计划一般，基本符合施工实际需求的计4分；机械、设备安排简单计1分；未提供不得分。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项目组织管理机构</w:t>
            </w:r>
          </w:p>
        </w:tc>
        <w:tc>
          <w:tcPr>
            <w:tcW w:type="dxa" w:w="2492"/>
          </w:tcPr>
          <w:p>
            <w:pPr>
              <w:pStyle w:val="null3"/>
            </w:pPr>
            <w:r>
              <w:rPr>
                <w:rFonts w:ascii="仿宋_GB2312" w:hAnsi="仿宋_GB2312" w:cs="仿宋_GB2312" w:eastAsia="仿宋_GB2312"/>
              </w:rPr>
              <w:t>项目组织管理机构人员配置齐全（项目经理、技术负责人、施工人员等），各专业配备合理、分工及岗位职责清晰计6分；人员配置充足，分工基本明确，职责不够清晰计4分；人员数量较少，经验不足，证明材料不够详尽计2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项目实施过程中周边关系协调方案和保证措施合理</w:t>
            </w:r>
          </w:p>
        </w:tc>
        <w:tc>
          <w:tcPr>
            <w:tcW w:type="dxa" w:w="2492"/>
          </w:tcPr>
          <w:p>
            <w:pPr>
              <w:pStyle w:val="null3"/>
            </w:pPr>
            <w:r>
              <w:rPr>
                <w:rFonts w:ascii="仿宋_GB2312" w:hAnsi="仿宋_GB2312" w:cs="仿宋_GB2312" w:eastAsia="仿宋_GB2312"/>
              </w:rPr>
              <w:t>项目实施过程中周边关系协调方案和保证措施合理，可行性高计6分；方案一般、措施不完备计4分；可行性、合理性较差得2分；未提供不得分。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降低工程造价、缩短施工周期的合理化建议</w:t>
            </w:r>
          </w:p>
        </w:tc>
        <w:tc>
          <w:tcPr>
            <w:tcW w:type="dxa" w:w="2492"/>
          </w:tcPr>
          <w:p>
            <w:pPr>
              <w:pStyle w:val="null3"/>
            </w:pPr>
            <w:r>
              <w:rPr>
                <w:rFonts w:ascii="仿宋_GB2312" w:hAnsi="仿宋_GB2312" w:cs="仿宋_GB2312" w:eastAsia="仿宋_GB2312"/>
              </w:rPr>
              <w:t>各项建议合理、可行，方法得当计6分；合理化建议可行性一般、方法较少计4分；可行性、合理性较差得2分；未提供不得分。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突发事件的应急措施和解决方案</w:t>
            </w:r>
          </w:p>
        </w:tc>
        <w:tc>
          <w:tcPr>
            <w:tcW w:type="dxa" w:w="2492"/>
          </w:tcPr>
          <w:p>
            <w:pPr>
              <w:pStyle w:val="null3"/>
            </w:pPr>
            <w:r>
              <w:rPr>
                <w:rFonts w:ascii="仿宋_GB2312" w:hAnsi="仿宋_GB2312" w:cs="仿宋_GB2312" w:eastAsia="仿宋_GB2312"/>
              </w:rPr>
              <w:t>突发事件的应急措施和解决方案，详细合理计5分；较详细得3分；较差得1分；未提供不得分。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提供供应商2022年7月至磋商截止日期前类似项目业绩，每提供1个得1分，满分5分(以合同协议书或中标（成交）通知书内容为准）。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技术方案.docx</w:t>
            </w:r>
          </w:p>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经资格审查、符合性审查合格的磋商响应文件，其磋商报价为有效磋商报价，满足磋商文件要求且磋商价格最低的投标报价为评标基准价，其价格分为满分。 价格分按照下列公式计算。 磋商报价得分=（评标基准价/磋商报价）×价格分值。</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详见附件：基本资格条件承诺函.docx</w:t>
      </w:r>
    </w:p>
    <w:p>
      <w:pPr>
        <w:pStyle w:val="null3"/>
        <w:ind w:firstLine="960"/>
      </w:pPr>
      <w:r>
        <w:rPr>
          <w:rFonts w:ascii="仿宋_GB2312" w:hAnsi="仿宋_GB2312" w:cs="仿宋_GB2312" w:eastAsia="仿宋_GB2312"/>
        </w:rPr>
        <w:t>详见附件：技术方案.docx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