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版本号：ZJZC2025050900820250701001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西安市雁塔区金石路、沈纬二路及阿房路土地报批咨询服务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ZJZC20250509008</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中建华阳建设项目管理有限责任公司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中建华阳建设项目管理有限责任公司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西安市雁塔区金石路、沈纬二路及阿房路土地报批咨询服务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ZJZC20250509008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西安市雁塔区金石路、沈纬二路及阿房路土地报批咨询服务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西安市雁塔区金石路、沈纬二路及阿房路土地报批咨询服务项目，本次咨询服务的工作内容为金石路、沈纬二路、阿房路三条路共计51.13亩市政道路土地征收技术咨询服务，具体内容详见项目招标文件。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采购包1（西安市雁塔区金石路、沈纬二路及阿房路土地报批咨询服务项目）：属于专门面向中小企业采购。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1、营业执照等主体资格证明文件：提供有效的企业营业执照（副本）/事业单位法人证书/专业服务机构执业许可证/民办非企业单位登记证书/自然人身份证件。</w:t>
      </w:r>
    </w:p>
    <w:p>
      <w:pPr>
        <w:pStyle w:val="null3"/>
      </w:pPr>
      <w:r>
        <w:rPr>
          <w:rFonts w:ascii="仿宋_GB2312" w:hAnsi="仿宋_GB2312" w:cs="仿宋_GB2312" w:eastAsia="仿宋_GB2312"/>
        </w:rPr>
        <w:t>2、财务状况报告：提供2023年度或2024年度经审计的财务报告（成立时间至提交投标文件截止时间不足一年的可提供成立后任意时段的资产负债表），或其提交投标文件截止之日前三个月内基本开户银行出具的资信证明，或信用担保机构出具的投标担保函。</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身份证明或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029-83692920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中建华阳建设项目管理有限责任公司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陕西省西安市新城区陕西省西安市新城区长乐中路242号金花新都汇A座写字楼24层06室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董喜峰、裴慢慢、王超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18729530649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不足6000.00元按6000.00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中建华阳建设项目管理有限责任公司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中建华阳建设项目管理有限责任公司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中建华阳建设项目管理有限责任公司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符合国家、省、市及行业相关规定要求，符合采购人要求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w:t>
      </w:r>
    </w:p>
    <w:p>
      <w:pPr>
        <w:pStyle w:val="null3"/>
      </w:pPr>
      <w:r>
        <w:rPr>
          <w:rFonts w:ascii="仿宋_GB2312" w:hAnsi="仿宋_GB2312" w:cs="仿宋_GB2312" w:eastAsia="仿宋_GB2312"/>
        </w:rPr>
        <w:t>联系电话：18729530649</w:t>
      </w:r>
    </w:p>
    <w:p>
      <w:pPr>
        <w:pStyle w:val="null3"/>
      </w:pPr>
      <w:r>
        <w:rPr>
          <w:rFonts w:ascii="仿宋_GB2312" w:hAnsi="仿宋_GB2312" w:cs="仿宋_GB2312" w:eastAsia="仿宋_GB2312"/>
        </w:rPr>
        <w:t>地址：西安市新城区陕西省西安市新城区长乐中路242号金花新都汇A座写字楼24层06室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西安市雁塔区金石路、沈纬二路及阿房路土地报批咨询服务项目，本次咨询服务的工作内容为金石路、沈纬二路、阿房路三条路共计51.13亩市政道路土地征收技术咨询服务。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土地报批咨询服务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标的名称：土地报批咨询服务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项目名称：西安市雁塔区金石路、沈纬二路及阿房路土地报批咨询服务项目</w:t>
            </w:r>
          </w:p>
          <w:p>
            <w:pPr>
              <w:pStyle w:val="null3"/>
              <w:ind w:firstLine="480"/>
              <w:jc w:val="both"/>
            </w:pPr>
            <w:r>
              <w:rPr>
                <w:rFonts w:ascii="仿宋_GB2312" w:hAnsi="仿宋_GB2312" w:cs="仿宋_GB2312" w:eastAsia="仿宋_GB2312"/>
                <w:sz w:val="24"/>
              </w:rPr>
              <w:t>采购预算：</w:t>
            </w:r>
            <w:r>
              <w:rPr>
                <w:rFonts w:ascii="仿宋_GB2312" w:hAnsi="仿宋_GB2312" w:cs="仿宋_GB2312" w:eastAsia="仿宋_GB2312"/>
                <w:sz w:val="24"/>
              </w:rPr>
              <w:t>275</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本次咨询服务的工作内容为金石路、沈纬二路、阿房路三条路共计</w:t>
            </w:r>
            <w:r>
              <w:rPr>
                <w:rFonts w:ascii="仿宋_GB2312" w:hAnsi="仿宋_GB2312" w:cs="仿宋_GB2312" w:eastAsia="仿宋_GB2312"/>
                <w:sz w:val="24"/>
              </w:rPr>
              <w:t>51.13</w:t>
            </w:r>
            <w:r>
              <w:rPr>
                <w:rFonts w:ascii="仿宋_GB2312" w:hAnsi="仿宋_GB2312" w:cs="仿宋_GB2312" w:eastAsia="仿宋_GB2312"/>
                <w:sz w:val="24"/>
              </w:rPr>
              <w:t>亩市政道路土地征收技术咨询服务</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土地征收社会稳定风险评估报告编制并通过专家评审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完成土地征收六步骤的资料组卷工作；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完成地质灾害评估报告的编制并通过专家评审；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完成报省、市、区三级报批材料组卷、递送和电子报盘工作，及时跟踪项目进度，推进手续办理；最终取得省级、市级、区级批文。</w:t>
            </w:r>
          </w:p>
          <w:p>
            <w:pPr>
              <w:pStyle w:val="null3"/>
              <w:ind w:firstLine="482"/>
              <w:jc w:val="both"/>
            </w:pPr>
            <w:r>
              <w:rPr>
                <w:rFonts w:ascii="仿宋_GB2312" w:hAnsi="仿宋_GB2312" w:cs="仿宋_GB2312" w:eastAsia="仿宋_GB2312"/>
                <w:sz w:val="24"/>
                <w:b/>
              </w:rPr>
              <w:t>三、编制依据</w:t>
            </w:r>
          </w:p>
          <w:p>
            <w:pPr>
              <w:pStyle w:val="null3"/>
              <w:ind w:firstLine="480"/>
              <w:jc w:val="both"/>
            </w:pPr>
            <w:r>
              <w:rPr>
                <w:rFonts w:ascii="仿宋_GB2312" w:hAnsi="仿宋_GB2312" w:cs="仿宋_GB2312" w:eastAsia="仿宋_GB2312"/>
                <w:sz w:val="24"/>
              </w:rPr>
              <w:t>1、国家有关法律、法规、标准、规范及部、省、市有关规定要求。</w:t>
            </w:r>
          </w:p>
          <w:p>
            <w:pPr>
              <w:pStyle w:val="null3"/>
              <w:ind w:firstLine="480"/>
              <w:jc w:val="both"/>
            </w:pPr>
            <w:r>
              <w:rPr>
                <w:rFonts w:ascii="仿宋_GB2312" w:hAnsi="仿宋_GB2312" w:cs="仿宋_GB2312" w:eastAsia="仿宋_GB2312"/>
                <w:sz w:val="24"/>
              </w:rPr>
              <w:t>2、甲方提供的有关依据。</w:t>
            </w:r>
          </w:p>
          <w:p>
            <w:pPr>
              <w:pStyle w:val="null3"/>
              <w:ind w:firstLine="480"/>
              <w:jc w:val="both"/>
            </w:pPr>
            <w:r>
              <w:rPr>
                <w:rFonts w:ascii="仿宋_GB2312" w:hAnsi="仿宋_GB2312" w:cs="仿宋_GB2312" w:eastAsia="仿宋_GB2312"/>
                <w:sz w:val="24"/>
              </w:rPr>
              <w:t>3、政府各主管部门规划审批文件。</w:t>
            </w:r>
          </w:p>
          <w:p>
            <w:pPr>
              <w:pStyle w:val="null3"/>
              <w:ind w:firstLine="482"/>
              <w:jc w:val="both"/>
            </w:pPr>
            <w:r>
              <w:rPr>
                <w:rFonts w:ascii="仿宋_GB2312" w:hAnsi="仿宋_GB2312" w:cs="仿宋_GB2312" w:eastAsia="仿宋_GB2312"/>
                <w:sz w:val="24"/>
                <w:b/>
              </w:rPr>
              <w:t>四、技术要求</w:t>
            </w:r>
          </w:p>
          <w:p>
            <w:pPr>
              <w:pStyle w:val="null3"/>
              <w:spacing w:before="60"/>
              <w:ind w:firstLine="400"/>
              <w:jc w:val="both"/>
            </w:pPr>
            <w:r>
              <w:rPr>
                <w:rFonts w:ascii="仿宋_GB2312" w:hAnsi="仿宋_GB2312" w:cs="仿宋_GB2312" w:eastAsia="仿宋_GB2312"/>
                <w:sz w:val="24"/>
              </w:rPr>
              <w:t>完成各项专业咨询服务，取得</w:t>
            </w:r>
            <w:r>
              <w:rPr>
                <w:rFonts w:ascii="仿宋_GB2312" w:hAnsi="仿宋_GB2312" w:cs="仿宋_GB2312" w:eastAsia="仿宋_GB2312"/>
                <w:sz w:val="24"/>
              </w:rPr>
              <w:t>省级、市级、区级</w:t>
            </w:r>
            <w:r>
              <w:rPr>
                <w:rFonts w:ascii="仿宋_GB2312" w:hAnsi="仿宋_GB2312" w:cs="仿宋_GB2312" w:eastAsia="仿宋_GB2312"/>
                <w:sz w:val="24"/>
              </w:rPr>
              <w:t>土地批复文件，确保工作成果符合《中华人民共和国土地管理法》《中华人民共和国土地管理法实施条例》等法律法规以及部、省、市有关规定要求。</w:t>
            </w:r>
          </w:p>
          <w:p>
            <w:pPr>
              <w:pStyle w:val="null3"/>
              <w:ind w:firstLine="400"/>
              <w:jc w:val="both"/>
            </w:pPr>
            <w:r>
              <w:rPr>
                <w:rFonts w:ascii="仿宋_GB2312" w:hAnsi="仿宋_GB2312" w:cs="仿宋_GB2312" w:eastAsia="仿宋_GB2312"/>
                <w:sz w:val="24"/>
              </w:rPr>
              <w:t>供应商在执业过程中对采购人提交的全部材料均负有保密义务，对执业过程中知悉的国家机密和采购人商业机密应遵守国家和有关的保密条例，不得向他人提供或泄密。</w:t>
            </w:r>
          </w:p>
          <w:p>
            <w:pPr>
              <w:pStyle w:val="null3"/>
              <w:ind w:firstLine="482"/>
              <w:jc w:val="both"/>
            </w:pPr>
            <w:r>
              <w:rPr>
                <w:rFonts w:ascii="仿宋_GB2312" w:hAnsi="仿宋_GB2312" w:cs="仿宋_GB2312" w:eastAsia="仿宋_GB2312"/>
                <w:sz w:val="24"/>
                <w:b/>
              </w:rPr>
              <w:t>五、付款方式、依据</w:t>
            </w:r>
          </w:p>
          <w:p>
            <w:pPr>
              <w:pStyle w:val="null3"/>
              <w:ind w:firstLine="480"/>
            </w:pPr>
            <w:r>
              <w:rPr>
                <w:rFonts w:ascii="仿宋_GB2312" w:hAnsi="仿宋_GB2312" w:cs="仿宋_GB2312" w:eastAsia="仿宋_GB2312"/>
                <w:sz w:val="24"/>
              </w:rPr>
              <w:t>1、付款方式：</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本协议签订后</w:t>
            </w:r>
            <w:r>
              <w:rPr>
                <w:rFonts w:ascii="仿宋_GB2312" w:hAnsi="仿宋_GB2312" w:cs="仿宋_GB2312" w:eastAsia="仿宋_GB2312"/>
                <w:sz w:val="24"/>
              </w:rPr>
              <w:t>15个工作日</w:t>
            </w:r>
            <w:r>
              <w:rPr>
                <w:rFonts w:ascii="仿宋_GB2312" w:hAnsi="仿宋_GB2312" w:cs="仿宋_GB2312" w:eastAsia="仿宋_GB2312"/>
                <w:sz w:val="24"/>
              </w:rPr>
              <w:t>内，</w:t>
            </w:r>
            <w:r>
              <w:rPr>
                <w:rFonts w:ascii="仿宋_GB2312" w:hAnsi="仿宋_GB2312" w:cs="仿宋_GB2312" w:eastAsia="仿宋_GB2312"/>
                <w:sz w:val="24"/>
              </w:rPr>
              <w:t>甲</w:t>
            </w:r>
            <w:r>
              <w:rPr>
                <w:rFonts w:ascii="仿宋_GB2312" w:hAnsi="仿宋_GB2312" w:cs="仿宋_GB2312" w:eastAsia="仿宋_GB2312"/>
                <w:sz w:val="24"/>
              </w:rPr>
              <w:t>方向</w:t>
            </w:r>
            <w:r>
              <w:rPr>
                <w:rFonts w:ascii="仿宋_GB2312" w:hAnsi="仿宋_GB2312" w:cs="仿宋_GB2312" w:eastAsia="仿宋_GB2312"/>
                <w:sz w:val="24"/>
              </w:rPr>
              <w:t>乙</w:t>
            </w:r>
            <w:r>
              <w:rPr>
                <w:rFonts w:ascii="仿宋_GB2312" w:hAnsi="仿宋_GB2312" w:cs="仿宋_GB2312" w:eastAsia="仿宋_GB2312"/>
                <w:sz w:val="24"/>
              </w:rPr>
              <w:t>方支付</w:t>
            </w:r>
            <w:r>
              <w:rPr>
                <w:rFonts w:ascii="仿宋_GB2312" w:hAnsi="仿宋_GB2312" w:cs="仿宋_GB2312" w:eastAsia="仿宋_GB2312"/>
                <w:sz w:val="24"/>
              </w:rPr>
              <w:t>服务费用</w:t>
            </w:r>
            <w:r>
              <w:rPr>
                <w:rFonts w:ascii="仿宋_GB2312" w:hAnsi="仿宋_GB2312" w:cs="仿宋_GB2312" w:eastAsia="仿宋_GB2312"/>
                <w:sz w:val="24"/>
              </w:rPr>
              <w:t>总额</w:t>
            </w:r>
            <w:r>
              <w:rPr>
                <w:rFonts w:ascii="仿宋_GB2312" w:hAnsi="仿宋_GB2312" w:cs="仿宋_GB2312" w:eastAsia="仿宋_GB2312"/>
                <w:sz w:val="24"/>
              </w:rPr>
              <w:t>的</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作为预付款</w:t>
            </w:r>
            <w:r>
              <w:rPr>
                <w:rFonts w:ascii="仿宋_GB2312" w:hAnsi="仿宋_GB2312" w:cs="仿宋_GB2312" w:eastAsia="仿宋_GB2312"/>
                <w:sz w:val="24"/>
              </w:rPr>
              <w:t>，</w:t>
            </w:r>
            <w:r>
              <w:rPr>
                <w:rFonts w:ascii="仿宋_GB2312" w:hAnsi="仿宋_GB2312" w:cs="仿宋_GB2312" w:eastAsia="仿宋_GB2312"/>
                <w:sz w:val="24"/>
              </w:rPr>
              <w:t>费用到账后，</w:t>
            </w:r>
            <w:r>
              <w:rPr>
                <w:rFonts w:ascii="仿宋_GB2312" w:hAnsi="仿宋_GB2312" w:cs="仿宋_GB2312" w:eastAsia="仿宋_GB2312"/>
                <w:sz w:val="24"/>
              </w:rPr>
              <w:t>乙</w:t>
            </w:r>
            <w:r>
              <w:rPr>
                <w:rFonts w:ascii="仿宋_GB2312" w:hAnsi="仿宋_GB2312" w:cs="仿宋_GB2312" w:eastAsia="仿宋_GB2312"/>
                <w:sz w:val="24"/>
              </w:rPr>
              <w:t>方按约定启动各项工作</w:t>
            </w:r>
            <w:r>
              <w:rPr>
                <w:rFonts w:ascii="仿宋_GB2312" w:hAnsi="仿宋_GB2312" w:cs="仿宋_GB2312" w:eastAsia="仿宋_GB2312"/>
                <w:sz w:val="24"/>
              </w:rPr>
              <w:t>；</w:t>
            </w:r>
            <w:r>
              <w:rPr>
                <w:rFonts w:ascii="仿宋_GB2312" w:hAnsi="仿宋_GB2312" w:cs="仿宋_GB2312" w:eastAsia="仿宋_GB2312"/>
                <w:sz w:val="24"/>
              </w:rPr>
              <w:t>待乙方</w:t>
            </w:r>
            <w:r>
              <w:rPr>
                <w:rFonts w:ascii="仿宋_GB2312" w:hAnsi="仿宋_GB2312" w:cs="仿宋_GB2312" w:eastAsia="仿宋_GB2312"/>
                <w:sz w:val="24"/>
              </w:rPr>
              <w:t>完成</w:t>
            </w:r>
            <w:r>
              <w:rPr>
                <w:rFonts w:ascii="仿宋_GB2312" w:hAnsi="仿宋_GB2312" w:cs="仿宋_GB2312" w:eastAsia="仿宋_GB2312"/>
                <w:sz w:val="24"/>
              </w:rPr>
              <w:t>金石路</w:t>
            </w:r>
            <w:r>
              <w:rPr>
                <w:rFonts w:ascii="仿宋_GB2312" w:hAnsi="仿宋_GB2312" w:cs="仿宋_GB2312" w:eastAsia="仿宋_GB2312"/>
                <w:sz w:val="24"/>
              </w:rPr>
              <w:t>、</w:t>
            </w:r>
            <w:r>
              <w:rPr>
                <w:rFonts w:ascii="仿宋_GB2312" w:hAnsi="仿宋_GB2312" w:cs="仿宋_GB2312" w:eastAsia="仿宋_GB2312"/>
                <w:sz w:val="24"/>
              </w:rPr>
              <w:t>沈纬二路</w:t>
            </w:r>
            <w:r>
              <w:rPr>
                <w:rFonts w:ascii="仿宋_GB2312" w:hAnsi="仿宋_GB2312" w:cs="仿宋_GB2312" w:eastAsia="仿宋_GB2312"/>
                <w:sz w:val="24"/>
              </w:rPr>
              <w:t>、阿房路</w:t>
            </w:r>
            <w:r>
              <w:rPr>
                <w:rFonts w:ascii="仿宋_GB2312" w:hAnsi="仿宋_GB2312" w:cs="仿宋_GB2312" w:eastAsia="仿宋_GB2312"/>
                <w:sz w:val="24"/>
              </w:rPr>
              <w:t>组卷报批资料编制、上报分局后15个工作日</w:t>
            </w:r>
            <w:r>
              <w:rPr>
                <w:rFonts w:ascii="仿宋_GB2312" w:hAnsi="仿宋_GB2312" w:cs="仿宋_GB2312" w:eastAsia="仿宋_GB2312"/>
                <w:sz w:val="24"/>
              </w:rPr>
              <w:t>内</w:t>
            </w:r>
            <w:r>
              <w:rPr>
                <w:rFonts w:ascii="仿宋_GB2312" w:hAnsi="仿宋_GB2312" w:cs="仿宋_GB2312" w:eastAsia="仿宋_GB2312"/>
                <w:sz w:val="24"/>
              </w:rPr>
              <w:t>，</w:t>
            </w:r>
            <w:r>
              <w:rPr>
                <w:rFonts w:ascii="仿宋_GB2312" w:hAnsi="仿宋_GB2312" w:cs="仿宋_GB2312" w:eastAsia="仿宋_GB2312"/>
                <w:sz w:val="24"/>
              </w:rPr>
              <w:t>甲方支付该项下服务费用的30%；</w:t>
            </w:r>
            <w:r>
              <w:rPr>
                <w:rFonts w:ascii="仿宋_GB2312" w:hAnsi="仿宋_GB2312" w:cs="仿宋_GB2312" w:eastAsia="仿宋_GB2312"/>
                <w:sz w:val="24"/>
              </w:rPr>
              <w:t>待乙方</w:t>
            </w:r>
            <w:r>
              <w:rPr>
                <w:rFonts w:ascii="仿宋_GB2312" w:hAnsi="仿宋_GB2312" w:cs="仿宋_GB2312" w:eastAsia="仿宋_GB2312"/>
                <w:sz w:val="24"/>
              </w:rPr>
              <w:t>完成完成</w:t>
            </w:r>
            <w:r>
              <w:rPr>
                <w:rFonts w:ascii="仿宋_GB2312" w:hAnsi="仿宋_GB2312" w:cs="仿宋_GB2312" w:eastAsia="仿宋_GB2312"/>
                <w:sz w:val="24"/>
              </w:rPr>
              <w:t>金石路</w:t>
            </w:r>
            <w:r>
              <w:rPr>
                <w:rFonts w:ascii="仿宋_GB2312" w:hAnsi="仿宋_GB2312" w:cs="仿宋_GB2312" w:eastAsia="仿宋_GB2312"/>
                <w:sz w:val="24"/>
              </w:rPr>
              <w:t>、</w:t>
            </w:r>
            <w:r>
              <w:rPr>
                <w:rFonts w:ascii="仿宋_GB2312" w:hAnsi="仿宋_GB2312" w:cs="仿宋_GB2312" w:eastAsia="仿宋_GB2312"/>
                <w:sz w:val="24"/>
              </w:rPr>
              <w:t>沈纬二路</w:t>
            </w:r>
            <w:r>
              <w:rPr>
                <w:rFonts w:ascii="仿宋_GB2312" w:hAnsi="仿宋_GB2312" w:cs="仿宋_GB2312" w:eastAsia="仿宋_GB2312"/>
                <w:sz w:val="24"/>
              </w:rPr>
              <w:t>、阿房路组卷资料上报省厅</w:t>
            </w:r>
            <w:r>
              <w:rPr>
                <w:rFonts w:ascii="仿宋_GB2312" w:hAnsi="仿宋_GB2312" w:cs="仿宋_GB2312" w:eastAsia="仿宋_GB2312"/>
                <w:sz w:val="24"/>
              </w:rPr>
              <w:t>后15个工作日</w:t>
            </w:r>
            <w:r>
              <w:rPr>
                <w:rFonts w:ascii="仿宋_GB2312" w:hAnsi="仿宋_GB2312" w:cs="仿宋_GB2312" w:eastAsia="仿宋_GB2312"/>
                <w:sz w:val="24"/>
              </w:rPr>
              <w:t>内</w:t>
            </w:r>
            <w:r>
              <w:rPr>
                <w:rFonts w:ascii="仿宋_GB2312" w:hAnsi="仿宋_GB2312" w:cs="仿宋_GB2312" w:eastAsia="仿宋_GB2312"/>
                <w:sz w:val="24"/>
              </w:rPr>
              <w:t>，</w:t>
            </w:r>
            <w:r>
              <w:rPr>
                <w:rFonts w:ascii="仿宋_GB2312" w:hAnsi="仿宋_GB2312" w:cs="仿宋_GB2312" w:eastAsia="仿宋_GB2312"/>
                <w:sz w:val="24"/>
              </w:rPr>
              <w:t>甲方支付该项下服务费用的30%；</w:t>
            </w:r>
            <w:r>
              <w:rPr>
                <w:rFonts w:ascii="仿宋_GB2312" w:hAnsi="仿宋_GB2312" w:cs="仿宋_GB2312" w:eastAsia="仿宋_GB2312"/>
                <w:sz w:val="24"/>
              </w:rPr>
              <w:t>待乙方</w:t>
            </w:r>
            <w:r>
              <w:rPr>
                <w:rFonts w:ascii="仿宋_GB2312" w:hAnsi="仿宋_GB2312" w:cs="仿宋_GB2312" w:eastAsia="仿宋_GB2312"/>
                <w:sz w:val="24"/>
              </w:rPr>
              <w:t>待取得省级、市级、区级土地审批件后</w:t>
            </w:r>
            <w:r>
              <w:rPr>
                <w:rFonts w:ascii="仿宋_GB2312" w:hAnsi="仿宋_GB2312" w:cs="仿宋_GB2312" w:eastAsia="仿宋_GB2312"/>
                <w:sz w:val="24"/>
              </w:rPr>
              <w:t>15个工作日</w:t>
            </w:r>
            <w:r>
              <w:rPr>
                <w:rFonts w:ascii="仿宋_GB2312" w:hAnsi="仿宋_GB2312" w:cs="仿宋_GB2312" w:eastAsia="仿宋_GB2312"/>
                <w:sz w:val="24"/>
              </w:rPr>
              <w:t>内</w:t>
            </w:r>
            <w:r>
              <w:rPr>
                <w:rFonts w:ascii="仿宋_GB2312" w:hAnsi="仿宋_GB2312" w:cs="仿宋_GB2312" w:eastAsia="仿宋_GB2312"/>
                <w:sz w:val="24"/>
              </w:rPr>
              <w:t>，</w:t>
            </w:r>
            <w:r>
              <w:rPr>
                <w:rFonts w:ascii="仿宋_GB2312" w:hAnsi="仿宋_GB2312" w:cs="仿宋_GB2312" w:eastAsia="仿宋_GB2312"/>
                <w:sz w:val="24"/>
              </w:rPr>
              <w:t>甲方支付该项下服务费用的30%。甲</w:t>
            </w:r>
            <w:r>
              <w:rPr>
                <w:rFonts w:ascii="仿宋_GB2312" w:hAnsi="仿宋_GB2312" w:cs="仿宋_GB2312" w:eastAsia="仿宋_GB2312"/>
                <w:sz w:val="24"/>
              </w:rPr>
              <w:t>方付款前，</w:t>
            </w:r>
            <w:r>
              <w:rPr>
                <w:rFonts w:ascii="仿宋_GB2312" w:hAnsi="仿宋_GB2312" w:cs="仿宋_GB2312" w:eastAsia="仿宋_GB2312"/>
                <w:sz w:val="24"/>
              </w:rPr>
              <w:t>乙</w:t>
            </w:r>
            <w:r>
              <w:rPr>
                <w:rFonts w:ascii="仿宋_GB2312" w:hAnsi="仿宋_GB2312" w:cs="仿宋_GB2312" w:eastAsia="仿宋_GB2312"/>
                <w:sz w:val="24"/>
              </w:rPr>
              <w:t>方须提供甲方财务认可的等额税务发票。</w:t>
            </w:r>
          </w:p>
          <w:p>
            <w:pPr>
              <w:pStyle w:val="null3"/>
              <w:ind w:firstLine="480"/>
              <w:jc w:val="both"/>
            </w:pPr>
            <w:r>
              <w:rPr>
                <w:rFonts w:ascii="仿宋_GB2312" w:hAnsi="仿宋_GB2312" w:cs="仿宋_GB2312" w:eastAsia="仿宋_GB2312"/>
                <w:sz w:val="24"/>
              </w:rPr>
              <w:t>2、付款依据：</w:t>
            </w:r>
            <w:r>
              <w:rPr>
                <w:rFonts w:ascii="仿宋_GB2312" w:hAnsi="仿宋_GB2312" w:cs="仿宋_GB2312" w:eastAsia="仿宋_GB2312"/>
                <w:sz w:val="24"/>
              </w:rPr>
              <w:t>甲</w:t>
            </w:r>
            <w:r>
              <w:rPr>
                <w:rFonts w:ascii="仿宋_GB2312" w:hAnsi="仿宋_GB2312" w:cs="仿宋_GB2312" w:eastAsia="仿宋_GB2312"/>
                <w:sz w:val="24"/>
              </w:rPr>
              <w:t>方付款前，</w:t>
            </w:r>
            <w:r>
              <w:rPr>
                <w:rFonts w:ascii="仿宋_GB2312" w:hAnsi="仿宋_GB2312" w:cs="仿宋_GB2312" w:eastAsia="仿宋_GB2312"/>
                <w:sz w:val="24"/>
              </w:rPr>
              <w:t>乙</w:t>
            </w:r>
            <w:r>
              <w:rPr>
                <w:rFonts w:ascii="仿宋_GB2312" w:hAnsi="仿宋_GB2312" w:cs="仿宋_GB2312" w:eastAsia="仿宋_GB2312"/>
                <w:sz w:val="24"/>
              </w:rPr>
              <w:t>方须提供甲方财务认可的等额税务发票。</w:t>
            </w:r>
          </w:p>
          <w:p>
            <w:pPr>
              <w:pStyle w:val="null3"/>
              <w:ind w:firstLine="480"/>
              <w:jc w:val="both"/>
            </w:pPr>
            <w:r>
              <w:rPr>
                <w:rFonts w:ascii="仿宋_GB2312" w:hAnsi="仿宋_GB2312" w:cs="仿宋_GB2312" w:eastAsia="仿宋_GB2312"/>
                <w:sz w:val="24"/>
              </w:rPr>
              <w:t>3、合同金额</w:t>
            </w:r>
            <w:r>
              <w:rPr>
                <w:rFonts w:ascii="仿宋_GB2312" w:hAnsi="仿宋_GB2312" w:cs="仿宋_GB2312" w:eastAsia="仿宋_GB2312"/>
                <w:sz w:val="24"/>
              </w:rPr>
              <w:t>包括乙方为履行本合同所需的调研、基础资料收集、文件编制修改、专家论证、 交通、人工、差旅等费用。</w:t>
            </w:r>
          </w:p>
          <w:p>
            <w:pPr>
              <w:pStyle w:val="null3"/>
              <w:ind w:firstLine="482"/>
              <w:jc w:val="both"/>
            </w:pPr>
            <w:r>
              <w:rPr>
                <w:rFonts w:ascii="仿宋_GB2312" w:hAnsi="仿宋_GB2312" w:cs="仿宋_GB2312" w:eastAsia="仿宋_GB2312"/>
                <w:sz w:val="24"/>
                <w:b/>
              </w:rPr>
              <w:t>六、商务要求：</w:t>
            </w:r>
          </w:p>
          <w:p>
            <w:pPr>
              <w:pStyle w:val="null3"/>
              <w:ind w:firstLine="482"/>
              <w:jc w:val="both"/>
            </w:pPr>
            <w:r>
              <w:rPr>
                <w:rFonts w:ascii="仿宋_GB2312" w:hAnsi="仿宋_GB2312" w:cs="仿宋_GB2312" w:eastAsia="仿宋_GB2312"/>
                <w:sz w:val="24"/>
                <w:b/>
              </w:rPr>
              <w:t>（一）价格：</w:t>
            </w:r>
          </w:p>
          <w:p>
            <w:pPr>
              <w:pStyle w:val="null3"/>
              <w:ind w:firstLine="480"/>
              <w:jc w:val="both"/>
            </w:pPr>
            <w:r>
              <w:rPr>
                <w:rFonts w:ascii="仿宋_GB2312" w:hAnsi="仿宋_GB2312" w:cs="仿宋_GB2312" w:eastAsia="仿宋_GB2312"/>
                <w:sz w:val="24"/>
              </w:rPr>
              <w:t>1、合同价款包括：该数额包括乙方为履行本合同所需的调研、基础资料收集、文件编制修改、专家论证、 交通、人工、差旅等费用；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、服务承诺：供应商应遵照国家规范规定的技术服务内容及要求作出明确承诺。</w:t>
            </w:r>
          </w:p>
          <w:p>
            <w:pPr>
              <w:pStyle w:val="null3"/>
              <w:ind w:firstLine="482"/>
              <w:jc w:val="both"/>
            </w:pPr>
            <w:r>
              <w:rPr>
                <w:rFonts w:ascii="仿宋_GB2312" w:hAnsi="仿宋_GB2312" w:cs="仿宋_GB2312" w:eastAsia="仿宋_GB2312"/>
                <w:sz w:val="24"/>
                <w:b/>
              </w:rPr>
              <w:t>（二）保密要求：</w:t>
            </w:r>
          </w:p>
          <w:p>
            <w:pPr>
              <w:pStyle w:val="null3"/>
              <w:ind w:firstLine="480"/>
              <w:jc w:val="both"/>
            </w:pPr>
            <w:r>
              <w:rPr>
                <w:rFonts w:ascii="仿宋_GB2312" w:hAnsi="仿宋_GB2312" w:cs="仿宋_GB2312" w:eastAsia="仿宋_GB2312"/>
                <w:sz w:val="24"/>
              </w:rPr>
              <w:t>供应商在执业过程中对采购人提交的全部材料均负有保密义务，对执业过程中知悉的国家机密和采购人商业机密应遵守国家和有关的保密条例，不得向他人提供或泄密。</w:t>
            </w:r>
          </w:p>
          <w:p>
            <w:pPr>
              <w:pStyle w:val="null3"/>
              <w:ind w:firstLine="482"/>
              <w:jc w:val="both"/>
            </w:pPr>
            <w:r>
              <w:rPr>
                <w:rFonts w:ascii="仿宋_GB2312" w:hAnsi="仿宋_GB2312" w:cs="仿宋_GB2312" w:eastAsia="仿宋_GB2312"/>
                <w:sz w:val="24"/>
                <w:b/>
              </w:rPr>
              <w:t>（三）质量保证：</w:t>
            </w:r>
          </w:p>
          <w:p>
            <w:pPr>
              <w:pStyle w:val="null3"/>
              <w:ind w:firstLine="480"/>
              <w:jc w:val="both"/>
            </w:pPr>
            <w:r>
              <w:rPr>
                <w:rFonts w:ascii="仿宋_GB2312" w:hAnsi="仿宋_GB2312" w:cs="仿宋_GB2312" w:eastAsia="仿宋_GB2312"/>
                <w:sz w:val="24"/>
              </w:rPr>
              <w:t>成交供应商保证服务质量完全符合合同规定的质量标准及国家有关规范和标准。</w:t>
            </w:r>
          </w:p>
          <w:p>
            <w:pPr>
              <w:pStyle w:val="null3"/>
              <w:ind w:firstLine="480"/>
              <w:jc w:val="both"/>
            </w:pPr>
            <w:r>
              <w:rPr>
                <w:rFonts w:ascii="仿宋_GB2312" w:hAnsi="仿宋_GB2312" w:cs="仿宋_GB2312" w:eastAsia="仿宋_GB2312"/>
                <w:sz w:val="24"/>
                <w:b/>
              </w:rPr>
              <w:t>（四）验收</w:t>
            </w:r>
            <w:r>
              <w:rPr>
                <w:rFonts w:ascii="仿宋_GB2312" w:hAnsi="仿宋_GB2312" w:cs="仿宋_GB2312" w:eastAsia="仿宋_GB2312"/>
                <w:sz w:val="24"/>
                <w:b/>
              </w:rPr>
              <w:t>标准</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完成各项专业咨询服务，取得省级、市级、区级土地批复文件，确保工作成果符合《中华人民共和国土地管理法》《中华人民共和国土地管理法实施条例》等法律法规以及部、省、市有关规定要求。</w:t>
            </w:r>
          </w:p>
          <w:p>
            <w:pPr>
              <w:pStyle w:val="null3"/>
              <w:ind w:firstLine="482"/>
              <w:jc w:val="both"/>
            </w:pPr>
            <w:r>
              <w:rPr>
                <w:rFonts w:ascii="仿宋_GB2312" w:hAnsi="仿宋_GB2312" w:cs="仿宋_GB2312" w:eastAsia="仿宋_GB2312"/>
                <w:sz w:val="24"/>
                <w:b/>
              </w:rPr>
              <w:t>（五）合同实施：</w:t>
            </w:r>
          </w:p>
          <w:p>
            <w:pPr>
              <w:pStyle w:val="null3"/>
              <w:ind w:firstLine="480"/>
              <w:jc w:val="both"/>
            </w:pPr>
            <w:r>
              <w:rPr>
                <w:rFonts w:ascii="仿宋_GB2312" w:hAnsi="仿宋_GB2312" w:cs="仿宋_GB2312" w:eastAsia="仿宋_GB2312"/>
                <w:sz w:val="24"/>
              </w:rPr>
              <w:t>1、成交供应商应在合同签订后尽快安排人员与采购单位就服务工作进行安排、部署。</w:t>
            </w:r>
          </w:p>
          <w:p>
            <w:pPr>
              <w:pStyle w:val="null3"/>
              <w:ind w:firstLine="480"/>
              <w:jc w:val="both"/>
            </w:pPr>
            <w:r>
              <w:rPr>
                <w:rFonts w:ascii="仿宋_GB2312" w:hAnsi="仿宋_GB2312" w:cs="仿宋_GB2312" w:eastAsia="仿宋_GB2312"/>
                <w:sz w:val="24"/>
              </w:rPr>
              <w:t>2、若因成交供应商原因未能在服务期内完成合同规定的义务，由此对采购人造成的延误和一切损失，由成交单位人承担和赔偿。</w:t>
            </w:r>
          </w:p>
          <w:p>
            <w:pPr>
              <w:pStyle w:val="null3"/>
              <w:ind w:firstLine="482"/>
              <w:jc w:val="both"/>
            </w:pPr>
            <w:r>
              <w:rPr>
                <w:rFonts w:ascii="仿宋_GB2312" w:hAnsi="仿宋_GB2312" w:cs="仿宋_GB2312" w:eastAsia="仿宋_GB2312"/>
                <w:sz w:val="24"/>
                <w:b/>
              </w:rPr>
              <w:t>（六）服务期：</w:t>
            </w:r>
          </w:p>
          <w:p>
            <w:pPr>
              <w:pStyle w:val="null3"/>
              <w:ind w:firstLine="480"/>
            </w:pPr>
            <w:r>
              <w:rPr>
                <w:rFonts w:ascii="仿宋_GB2312" w:hAnsi="仿宋_GB2312" w:cs="仿宋_GB2312" w:eastAsia="仿宋_GB2312"/>
                <w:sz w:val="24"/>
              </w:rPr>
              <w:t>自合同签订之日起至采购人验收合格之日止（乙方完成合同约定服务内容，最终取得省级、市级、区级批文。）</w:t>
            </w:r>
          </w:p>
          <w:p>
            <w:pPr>
              <w:pStyle w:val="null3"/>
              <w:jc w:val="both"/>
            </w:pPr>
            <w:r>
              <w:rPr>
                <w:rFonts w:ascii="仿宋_GB2312" w:hAnsi="仿宋_GB2312" w:cs="仿宋_GB2312" w:eastAsia="仿宋_GB2312"/>
                <w:sz w:val="24"/>
                <w:b/>
              </w:rPr>
              <w:t>注：商务要求为实质性要求，不得负偏离。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拟派项目成员相关专业人员搭配合理、职能健全，岗位分工明确、职责清晰，包括人员配备情况及水平、人员安排、专业配置、从业经历、参与工作经验等方面，均应满足本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自合同签订之日起至采购人验收合格之日止。（乙方完成合同约定服务内容，最终取得省级、市级、区级批文。）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完成各项专业咨询服务，取得省级、市级、区级土地批复文件，确保工作成果符合《中华人民共和国土地管理法》、《中华人民共和国土地管理法实施条例》等法律法规以及部、省、市有关规定要求。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本协议签订后，供应商应向采购人提供等额合规的费用发票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待乙方完成金石路、沈纬二路、阿房路组卷报批资料编制、上报分局后，供应商应向采购人提供等额合规的费用发票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待乙方完成完成金石路、沈纬二路、阿房路组卷资料上报省厅后，供应商应向采购人提供等额合规的费用发票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待乙方待取得省级、市级、区级土地审批件后，供应商应向采购人提供等额合规的费用发票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1、乙方在履行本合同过程中存在重大失误或损害甲方利益等行为的，乙方除负责及时采取有效补救措施外，还应向甲方支付合同总费用5%的违约金。 2、乙方在合同履行过程中，未能按照合同约定及甲方要求的质量、进度提交工作成果时，乙方应当向甲方进行书面解释，并在15日内提交相关工作成果。超过30日仍未提交的，甲方有权单方解除合同，甲方不承担任何责任。 3、甲方未按照合同约定时间向乙方支付费用的，乙方有权暂停下阶段工作，且工期予以顺延。 4、如因甲方提供的资料原因产生的相应后果由甲方负责。 5、由于不可抗力或法律政策变更，致使合同无法履行时，双方协商解决。 （二）争议及解决方法 双方本着友好合作的态度,对合同履行过程中发生的纠纷应及时协商解决,协商不成，向项目所在地人民法院诉讼解决。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贰套至代理机构。 线上电子投标文件与纸质投标文件一致;若正本和副本不符，以正本为准。（三）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1、主体证明文件：提供有效的企业营业执照（副本）/事业单位法人证书/专业服务机构执业许可证/民办非企业单位登记证书/自然人身份证件。 2、提供2023年度或2024年度经审计的财务报告（成立时间至提交投标文件截止时间不足一年的可提供成立后任意时段的资产负债表），或其提交投标文件截止之日前三个月内基本开户银行出具的资信证明，或信用担保机构出具的投标担保函(以上三种形式的资料提供任何一种即可）。 3、提供可满足履行合同所需设备和专业技术能力的证明材料或承诺 4、提供递交投标文件截止之日前一年内任意一个月的社会保障资金缴存单据或社保机构开具的社会保险参保缴费情况证明。依法不需要缴纳社会保障资金的供应商应提供相关文件证明。 5、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 6、提供有效的参加政府采购活动前3年内在经营活动中没有重大违法记录的书面声明。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 投标函 供应商认为应提交的相关资格证明材料.docx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提供有效的企业营业执照（副本）/事业单位法人证书/专业服务机构执业许可证/民办非企业单位登记证书/自然人身份证件。</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报告（成立时间至提交投标文件截止时间不足一年的可提供成立后任意时段的资产负债表），或其提交投标文件截止之日前三个月内基本开户银行出具的资信证明，或信用担保机构出具的投标担保函。</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投标文件签署、盖章符合招标文件要求</w:t>
            </w:r>
          </w:p>
        </w:tc>
        <w:tc>
          <w:tcPr>
            <w:tcW w:type="dxa" w:w="1661"/>
          </w:tcPr>
          <w:p>
            <w:pPr>
              <w:pStyle w:val="null3"/>
            </w:pPr>
            <w:r>
              <w:rPr>
                <w:rFonts w:ascii="仿宋_GB2312" w:hAnsi="仿宋_GB2312" w:cs="仿宋_GB2312" w:eastAsia="仿宋_GB2312"/>
              </w:rPr>
              <w:t>拟投入本项目的人员配置情况表.docx 开标一览表 中小企业声明函 供应商认为应提交的相关资格证明材料.docx 分项报价表.docx 供应商资格要求.docx 投标函 残疾人福利性单位声明函 标的清单 供应商近三年类似项目业绩证明材料.docx 投标文件封面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投标人投标报价没有超出采购预算或最高限价，投标总价应当按照招标文件要求固定价格报价。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拟投入本项目的人员配置情况表.docx 供应商近三年类似项目业绩证明材料.docx 商务、服务内容偏离表、技术响应偏差表.docx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拟投入本项目的人员配置情况表.docx 开标一览表 中小企业声明函 供应商认为应提交的相关资格证明材料.docx 分项报价表.docx 供应商资格要求.docx 投标函 残疾人福利性单位声明函 标的清单 供应商近三年类似项目业绩证明材料.docx 投标文件封面 商务、服务内容偏离表、技术响应偏差表.docx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评审内容：根据供应商提供的①本项目的理解；②对国家相关领域政策、标准的掌握。 评审标准：以上内容符合本项目实际情况及实施要求，内容与要点相符，以上每1项得5分，最高得10分。不提供不得分。在此基础上每有一处缺陷扣0.5分，扣完为止。 （本项所称“缺陷”是指内容粗略、不完整或缺少关键点、仅有框架或标题、描述过于简单、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供应商提供针对本项目切实可行的服务方案。包括以下内容：①服务总体设想及目标；②总体实施方案；③档案管理；④设施设备配备。 评审标准：以上内容符合本项目实际情况及实施要求，内容与要点相符，以上每1项得5分，最高得20分。不提供不得分。在此基础上每有一处缺陷扣0.5分，扣完为止。 （本项所称“缺陷”是指内容粗略、不完整或缺少关键点、仅有框架或标题、描述过于简单、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项目进度计划及质量保证措施</w:t>
            </w:r>
          </w:p>
        </w:tc>
        <w:tc>
          <w:tcPr>
            <w:tcW w:type="dxa" w:w="2492"/>
          </w:tcPr>
          <w:p>
            <w:pPr>
              <w:pStyle w:val="null3"/>
            </w:pPr>
            <w:r>
              <w:rPr>
                <w:rFonts w:ascii="仿宋_GB2312" w:hAnsi="仿宋_GB2312" w:cs="仿宋_GB2312" w:eastAsia="仿宋_GB2312"/>
              </w:rPr>
              <w:t>根据供应商针对本项目制定的进度计划情况进行评分，包括以下内容：①进度计划安排；②进度保障措施；③服务质量保证措施。 评审标准：以上内容各项措施内容明确、全面、针对性强，根据响应细致程度，每一项最高计5分，最高得15分。不提供不得分。在此基础上每有一处缺陷扣0.5分，扣完为止。 （本项所称“缺陷”是指内容粗略、不完整或缺少关键点、仅有框架或标题、描述过于简单、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合理化建议和重难点分析</w:t>
            </w:r>
          </w:p>
        </w:tc>
        <w:tc>
          <w:tcPr>
            <w:tcW w:type="dxa" w:w="2492"/>
          </w:tcPr>
          <w:p>
            <w:pPr>
              <w:pStyle w:val="null3"/>
            </w:pPr>
            <w:r>
              <w:rPr>
                <w:rFonts w:ascii="仿宋_GB2312" w:hAnsi="仿宋_GB2312" w:cs="仿宋_GB2312" w:eastAsia="仿宋_GB2312"/>
              </w:rPr>
              <w:t>1、根据供应商针对本项目提供的有效建议和措施、进行打分。建议合理，可实现性强，具有改进意义。 2、供应商能正确识别本项目重点难点，分析全面具体透彻，解决对策针对性强。 评审标准：以上内容明确、全面、针对性强，根据响应细致程度，每一项最高计5分，最高得10分。不提供不得分。在此基础上每有一处缺陷扣0.5分，扣完为止。 （本项所称“缺陷”是指内容粗略、不完整或缺少关键点、仅有框架或标题、描述过于简单、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供应商拟派项目负责人具有职称得1分，本科及以上学历的得1分， 其他不得分。（提供有效的证书扫描件）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tc>
      </w:tr>
      <w:tr>
        <w:tc>
          <w:tcPr>
            <w:tcW w:type="dxa" w:w="831"/>
            <w:vMerge/>
          </w:tcPr>
          <w:p/>
        </w:tc>
        <w:tc>
          <w:tcPr>
            <w:tcW w:type="dxa" w:w="1661"/>
          </w:tcPr>
          <w:p>
            <w:pPr>
              <w:pStyle w:val="null3"/>
            </w:pPr>
            <w:r>
              <w:rPr>
                <w:rFonts w:ascii="仿宋_GB2312" w:hAnsi="仿宋_GB2312" w:cs="仿宋_GB2312" w:eastAsia="仿宋_GB2312"/>
              </w:rPr>
              <w:t>拟派项目团队成员情况</w:t>
            </w:r>
          </w:p>
        </w:tc>
        <w:tc>
          <w:tcPr>
            <w:tcW w:type="dxa" w:w="2492"/>
          </w:tcPr>
          <w:p>
            <w:pPr>
              <w:pStyle w:val="null3"/>
            </w:pPr>
            <w:r>
              <w:rPr>
                <w:rFonts w:ascii="仿宋_GB2312" w:hAnsi="仿宋_GB2312" w:cs="仿宋_GB2312" w:eastAsia="仿宋_GB2312"/>
              </w:rPr>
              <w:t>拟投入项目咨询团队有详细的人员配备方案、人员安排有具体方案，分工合理、责任明确，能确保项目顺利实施。 人员配备合理、科学、可行性强计（5-8］分； 人员配备较合理、科学、可行性较强计（3-5］分； 人员配备不太合理、科学、可行性不强计（1-3］分。 提供本次服务管理人员配备情况表（须提供配备人员相关资格证书、身份证、学历等证明材料），未提供不得分。 本表分值区间符号“［”、“］”表示包含本数，“（”、“）”表示不包含本数。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针对本项目提供应急保障措施，内容明确、全面、针对性强. 评审标准：以上内容明确、全面、针对性强，根据响应细致程度，最高得5分。不提供不得分。在此基础上每有一处缺陷扣0.5分，扣完为止。 （本项所称“缺陷”是指内容粗略、不完整或缺少关键点、仅有框架或标题、描述过于简单、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供应商对以下内容进行承诺： 1、接受采购人对服务的考核、监督及管理，人员安排到位，并对服务质量加以改进，确保服务工作的优质高效； 2、供应商应当对涉及采购人的信息严格保密，未经采购人许可，不得将信息泄露给第三方。否则，采购人保留追究法律责任的权利。 评审标准：以上各项内容明确、全面、针对性强，根据响应细致程度，每一项最高得5分，最高得10分。不提供不得分。在此基础上每有一处缺陷扣0.5分，扣完为止。 （本项所称“缺陷”是指内容粗略、不完整或缺少关键点、仅有框架或标题、描述过于简单、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供应商提供2022年1月1日至今（以合同签订时间为准）类似项目业绩，每提供1份计2分，满分10分。 备注：以上业绩须提供（提供合同复印件或扫描件）。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供应商近三年类似项目业绩证明材料.docx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详见附件：拟投入本项目的人员配置情况表.docx</w:t>
      </w:r>
    </w:p>
    <w:p>
      <w:pPr>
        <w:pStyle w:val="null3"/>
        <w:ind w:firstLine="960"/>
      </w:pPr>
      <w:r>
        <w:rPr>
          <w:rFonts w:ascii="仿宋_GB2312" w:hAnsi="仿宋_GB2312" w:cs="仿宋_GB2312" w:eastAsia="仿宋_GB2312"/>
        </w:rPr>
        <w:t>详见附件：供应商近三年类似项目业绩证明材料.docx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