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77D19">
      <w:pPr>
        <w:adjustRightInd w:val="0"/>
        <w:ind w:firstLine="6927" w:firstLineChars="2300"/>
        <w:rPr>
          <w:rFonts w:ascii="Times New Roman" w:hAnsi="Times New Roman"/>
          <w:b/>
          <w:bCs/>
          <w:sz w:val="30"/>
        </w:rPr>
      </w:pPr>
      <w:r>
        <w:rPr>
          <w:rFonts w:ascii="Times New Roman" w:hAnsi="Times New Roman"/>
          <w:b/>
          <w:bCs/>
          <w:sz w:val="30"/>
        </w:rPr>
        <w:t>合同编号：</w:t>
      </w:r>
    </w:p>
    <w:p w14:paraId="5DA9C276">
      <w:pPr>
        <w:pStyle w:val="3"/>
        <w:rPr>
          <w:rFonts w:ascii="Times New Roman" w:hAnsi="Times New Roman"/>
          <w:sz w:val="30"/>
          <w:szCs w:val="24"/>
        </w:rPr>
      </w:pPr>
    </w:p>
    <w:p w14:paraId="357DA6A5"/>
    <w:p w14:paraId="1E630FEA">
      <w:pPr>
        <w:tabs>
          <w:tab w:val="right" w:pos="5670"/>
          <w:tab w:val="right" w:pos="7980"/>
        </w:tabs>
        <w:spacing w:line="360" w:lineRule="auto"/>
        <w:jc w:val="center"/>
        <w:rPr>
          <w:rFonts w:hint="eastAsia" w:ascii="宋体" w:hAnsi="宋体" w:eastAsia="宋体" w:cs="宋体"/>
          <w:b/>
          <w:bCs/>
          <w:color w:val="000000"/>
          <w:sz w:val="48"/>
          <w:szCs w:val="48"/>
          <w:lang w:val="en-US" w:eastAsia="zh-CN"/>
        </w:rPr>
      </w:pPr>
    </w:p>
    <w:p w14:paraId="6BFEDA79">
      <w:pPr>
        <w:adjustRightInd w:val="0"/>
        <w:jc w:val="center"/>
        <w:rPr>
          <w:rFonts w:asciiTheme="majorEastAsia" w:hAnsiTheme="majorEastAsia" w:eastAsiaTheme="majorEastAsia" w:cstheme="majorEastAsia"/>
          <w:sz w:val="80"/>
        </w:rPr>
      </w:pPr>
    </w:p>
    <w:p w14:paraId="44CABAE5">
      <w:pPr>
        <w:tabs>
          <w:tab w:val="right" w:pos="5670"/>
          <w:tab w:val="right" w:pos="7980"/>
        </w:tabs>
        <w:spacing w:line="360" w:lineRule="auto"/>
        <w:jc w:val="center"/>
        <w:rPr>
          <w:rFonts w:hint="eastAsia" w:ascii="宋体" w:hAnsi="宋体" w:eastAsia="宋体" w:cs="宋体"/>
          <w:b/>
          <w:bCs/>
          <w:color w:val="000000"/>
          <w:sz w:val="52"/>
          <w:szCs w:val="52"/>
          <w:lang w:val="en-US" w:eastAsia="zh-CN"/>
        </w:rPr>
      </w:pPr>
      <w:r>
        <w:rPr>
          <w:rFonts w:hint="eastAsia" w:ascii="宋体" w:hAnsi="宋体" w:eastAsia="宋体" w:cs="宋体"/>
          <w:b/>
          <w:bCs/>
          <w:color w:val="000000"/>
          <w:sz w:val="52"/>
          <w:szCs w:val="52"/>
          <w:lang w:val="en-US" w:eastAsia="zh-CN"/>
        </w:rPr>
        <w:t>西安市雁塔区金石路、沈纬二路及阿房路土地报批咨询服务项目合同书</w:t>
      </w:r>
    </w:p>
    <w:p w14:paraId="34C223E6">
      <w:pPr>
        <w:pStyle w:val="8"/>
      </w:pPr>
    </w:p>
    <w:p w14:paraId="0A1F8756">
      <w:pPr>
        <w:pStyle w:val="4"/>
        <w:rPr>
          <w:rFonts w:asciiTheme="majorEastAsia" w:hAnsiTheme="majorEastAsia" w:eastAsiaTheme="majorEastAsia" w:cstheme="majorEastAsia"/>
        </w:rPr>
      </w:pPr>
    </w:p>
    <w:p w14:paraId="58E22FC9">
      <w:pPr>
        <w:pStyle w:val="4"/>
        <w:rPr>
          <w:rFonts w:asciiTheme="majorEastAsia" w:hAnsiTheme="majorEastAsia" w:eastAsiaTheme="majorEastAsia" w:cstheme="majorEastAsia"/>
        </w:rPr>
      </w:pPr>
    </w:p>
    <w:p w14:paraId="5B2C6D19">
      <w:pPr>
        <w:pStyle w:val="4"/>
        <w:rPr>
          <w:rFonts w:asciiTheme="majorEastAsia" w:hAnsiTheme="majorEastAsia" w:eastAsiaTheme="majorEastAsia" w:cstheme="majorEastAsia"/>
        </w:rPr>
      </w:pPr>
    </w:p>
    <w:p w14:paraId="4E9DA9E8">
      <w:pPr>
        <w:adjustRightInd w:val="0"/>
        <w:jc w:val="center"/>
        <w:rPr>
          <w:rFonts w:asciiTheme="majorEastAsia" w:hAnsiTheme="majorEastAsia" w:eastAsiaTheme="majorEastAsia" w:cstheme="majorEastAsia"/>
          <w:sz w:val="28"/>
        </w:rPr>
      </w:pPr>
    </w:p>
    <w:p w14:paraId="7EC3E416">
      <w:pPr>
        <w:pStyle w:val="4"/>
        <w:rPr>
          <w:rFonts w:asciiTheme="majorEastAsia" w:hAnsiTheme="majorEastAsia" w:eastAsiaTheme="majorEastAsia" w:cstheme="majorEastAsia"/>
          <w:sz w:val="28"/>
        </w:rPr>
      </w:pPr>
    </w:p>
    <w:p w14:paraId="75E81179">
      <w:pPr>
        <w:rPr>
          <w:rFonts w:asciiTheme="majorEastAsia" w:hAnsiTheme="majorEastAsia" w:eastAsiaTheme="majorEastAsia" w:cstheme="majorEastAsia"/>
          <w:sz w:val="28"/>
        </w:rPr>
      </w:pPr>
    </w:p>
    <w:p w14:paraId="08D085BB">
      <w:pPr>
        <w:rPr>
          <w:rFonts w:asciiTheme="majorEastAsia" w:hAnsiTheme="majorEastAsia" w:eastAsiaTheme="majorEastAsia" w:cstheme="majorEastAsia"/>
        </w:rPr>
      </w:pPr>
    </w:p>
    <w:p w14:paraId="163C815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textAlignment w:val="auto"/>
        <w:rPr>
          <w:rFonts w:hint="default" w:asciiTheme="majorEastAsia" w:hAnsiTheme="majorEastAsia" w:eastAsiaTheme="majorEastAsia" w:cstheme="majorEastAsia"/>
          <w:b/>
          <w:sz w:val="32"/>
          <w:u w:val="single"/>
          <w:lang w:val="en-US" w:eastAsia="zh-CN"/>
        </w:rPr>
      </w:pPr>
      <w:bookmarkStart w:id="0" w:name="OLE_LINK1"/>
      <w:r>
        <w:rPr>
          <w:rFonts w:hint="eastAsia" w:asciiTheme="majorEastAsia" w:hAnsiTheme="majorEastAsia" w:eastAsiaTheme="majorEastAsia" w:cstheme="majorEastAsia"/>
          <w:b/>
          <w:sz w:val="32"/>
        </w:rPr>
        <w:t>委托方（甲方）</w:t>
      </w:r>
      <w:r>
        <w:rPr>
          <w:rFonts w:hint="eastAsia" w:asciiTheme="majorEastAsia" w:hAnsiTheme="majorEastAsia" w:eastAsiaTheme="majorEastAsia" w:cstheme="majorEastAsia"/>
          <w:b/>
          <w:sz w:val="32"/>
          <w:lang w:eastAsia="zh-CN"/>
        </w:rPr>
        <w:t>：</w:t>
      </w:r>
      <w:r>
        <w:rPr>
          <w:rFonts w:hint="eastAsia" w:asciiTheme="majorEastAsia" w:hAnsiTheme="majorEastAsia" w:eastAsiaTheme="majorEastAsia" w:cstheme="majorEastAsia"/>
          <w:b/>
          <w:sz w:val="32"/>
          <w:lang w:val="en-US" w:eastAsia="zh-CN"/>
        </w:rPr>
        <w:t>西安市雁塔区住房和城乡建设局</w:t>
      </w:r>
    </w:p>
    <w:p w14:paraId="2900309F">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643" w:firstLineChars="200"/>
        <w:textAlignment w:val="auto"/>
        <w:rPr>
          <w:rFonts w:asciiTheme="majorEastAsia" w:hAnsiTheme="majorEastAsia" w:eastAsiaTheme="majorEastAsia" w:cstheme="majorEastAsia"/>
          <w:b/>
          <w:sz w:val="32"/>
        </w:rPr>
      </w:pPr>
    </w:p>
    <w:p w14:paraId="5B9557F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3" w:firstLineChars="200"/>
        <w:textAlignment w:val="auto"/>
        <w:outlineLvl w:val="0"/>
        <w:rPr>
          <w:rFonts w:asciiTheme="majorEastAsia" w:hAnsiTheme="majorEastAsia" w:eastAsiaTheme="majorEastAsia" w:cstheme="majorEastAsia"/>
          <w:b/>
          <w:bCs/>
          <w:kern w:val="44"/>
          <w:sz w:val="44"/>
          <w:szCs w:val="44"/>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Theme="majorEastAsia" w:hAnsiTheme="majorEastAsia" w:eastAsiaTheme="majorEastAsia" w:cstheme="majorEastAsia"/>
          <w:b/>
          <w:sz w:val="32"/>
        </w:rPr>
        <w:t>受托方（乙方）</w:t>
      </w:r>
      <w:bookmarkEnd w:id="0"/>
      <w:r>
        <w:rPr>
          <w:rFonts w:hint="eastAsia" w:asciiTheme="majorEastAsia" w:hAnsiTheme="majorEastAsia" w:eastAsiaTheme="majorEastAsia" w:cstheme="majorEastAsia"/>
          <w:b/>
          <w:sz w:val="32"/>
        </w:rPr>
        <w:t>：</w:t>
      </w:r>
    </w:p>
    <w:p w14:paraId="58EDBCA1">
      <w:pPr>
        <w:snapToGrid w:val="0"/>
        <w:spacing w:before="62" w:beforeLines="20" w:line="360" w:lineRule="auto"/>
        <w:ind w:firstLine="480" w:firstLineChars="200"/>
        <w:rPr>
          <w:rFonts w:hint="eastAsia" w:asciiTheme="minorEastAsia" w:hAnsiTheme="minorEastAsia" w:cstheme="minorEastAsia"/>
          <w:b w:val="0"/>
          <w:bCs/>
          <w:kern w:val="0"/>
          <w:sz w:val="24"/>
          <w:szCs w:val="24"/>
          <w:highlight w:val="none"/>
          <w:lang w:val="en-US" w:eastAsia="zh-CN"/>
        </w:rPr>
      </w:pPr>
      <w:r>
        <w:rPr>
          <w:rFonts w:hint="eastAsia" w:asciiTheme="minorEastAsia" w:hAnsiTheme="minorEastAsia" w:cstheme="minorEastAsia"/>
          <w:b w:val="0"/>
          <w:bCs/>
          <w:kern w:val="0"/>
          <w:sz w:val="24"/>
          <w:szCs w:val="24"/>
          <w:highlight w:val="none"/>
          <w:lang w:val="en-US" w:eastAsia="zh-CN"/>
        </w:rPr>
        <w:t>委托方（甲方）：西安市雁塔区住房和城乡建设局</w:t>
      </w:r>
    </w:p>
    <w:p w14:paraId="355B5F50">
      <w:pPr>
        <w:snapToGrid w:val="0"/>
        <w:spacing w:before="62" w:beforeLines="20" w:line="360" w:lineRule="auto"/>
        <w:ind w:firstLine="480" w:firstLineChars="200"/>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sz w:val="24"/>
          <w:szCs w:val="24"/>
          <w:highlight w:val="none"/>
        </w:rPr>
        <w:t>受托方（乙方）</w:t>
      </w:r>
      <w:r>
        <w:rPr>
          <w:rFonts w:hint="eastAsia" w:asciiTheme="minorEastAsia" w:hAnsiTheme="minorEastAsia" w:cstheme="minorEastAsia"/>
          <w:b w:val="0"/>
          <w:bCs/>
          <w:kern w:val="0"/>
          <w:sz w:val="24"/>
          <w:szCs w:val="24"/>
          <w:highlight w:val="none"/>
          <w:lang w:val="en-US" w:eastAsia="zh-CN"/>
        </w:rPr>
        <w:t>：</w:t>
      </w:r>
      <w:r>
        <w:rPr>
          <w:rFonts w:hint="eastAsia" w:asciiTheme="minorEastAsia" w:hAnsiTheme="minorEastAsia" w:eastAsiaTheme="minorEastAsia" w:cstheme="minorEastAsia"/>
          <w:b/>
          <w:kern w:val="0"/>
          <w:sz w:val="24"/>
          <w:szCs w:val="24"/>
          <w:highlight w:val="none"/>
        </w:rPr>
        <w:t xml:space="preserve">           </w:t>
      </w:r>
    </w:p>
    <w:p w14:paraId="39B5A09F">
      <w:pPr>
        <w:snapToGrid w:val="0"/>
        <w:spacing w:before="62" w:beforeLines="20" w:line="360" w:lineRule="auto"/>
        <w:ind w:firstLine="480" w:firstLineChars="200"/>
        <w:rPr>
          <w:rFonts w:hint="eastAsia" w:asciiTheme="minorEastAsia" w:hAnsiTheme="minorEastAsia" w:eastAsiaTheme="minorEastAsia" w:cstheme="minorEastAsia"/>
          <w:sz w:val="24"/>
          <w:szCs w:val="24"/>
          <w:highlight w:val="none"/>
        </w:rPr>
      </w:pPr>
    </w:p>
    <w:p w14:paraId="0DD8CD1A">
      <w:pPr>
        <w:snapToGrid w:val="0"/>
        <w:spacing w:before="62" w:beforeLines="20"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根据《中华人民共和国民法典》及国家有关法规、规定，经招标，由乙方进行</w:t>
      </w:r>
      <w:r>
        <w:rPr>
          <w:rFonts w:hint="eastAsia" w:asciiTheme="minorEastAsia" w:hAnsiTheme="minorEastAsia" w:cstheme="minorEastAsia"/>
          <w:sz w:val="24"/>
          <w:szCs w:val="24"/>
          <w:highlight w:val="none"/>
          <w:u w:val="single"/>
          <w:lang w:val="en-US" w:eastAsia="zh-CN"/>
        </w:rPr>
        <w:t xml:space="preserve"> 西安市雁塔区金石路、沈纬二路及阿房路土地报批咨询服务项目</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工作，为了明确双方的责任和义务，保证双方的权益，确保服务工作如期完成任务，甲乙双方达成以下协议条款。</w:t>
      </w:r>
    </w:p>
    <w:p w14:paraId="018345E0">
      <w:pPr>
        <w:keepNext w:val="0"/>
        <w:keepLines w:val="0"/>
        <w:pageBreakBefore w:val="0"/>
        <w:numPr>
          <w:ilvl w:val="0"/>
          <w:numId w:val="0"/>
        </w:numPr>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cstheme="minorEastAsia"/>
          <w:b/>
          <w:bCs/>
          <w:sz w:val="24"/>
          <w:szCs w:val="24"/>
          <w:highlight w:val="none"/>
          <w:lang w:val="en-US" w:eastAsia="zh-CN"/>
        </w:rPr>
        <w:t>第一条</w:t>
      </w:r>
      <w:r>
        <w:rPr>
          <w:rFonts w:hint="eastAsia" w:asciiTheme="minorEastAsia" w:hAnsiTheme="minorEastAsia" w:eastAsiaTheme="minorEastAsia" w:cstheme="minorEastAsia"/>
          <w:b/>
          <w:bCs/>
          <w:sz w:val="24"/>
          <w:szCs w:val="24"/>
          <w:highlight w:val="none"/>
        </w:rPr>
        <w:t xml:space="preserve"> </w:t>
      </w:r>
      <w:r>
        <w:rPr>
          <w:rFonts w:hint="eastAsia" w:asciiTheme="minorEastAsia" w:hAnsiTheme="minorEastAsia" w:eastAsiaTheme="minorEastAsia" w:cstheme="minorEastAsia"/>
          <w:b/>
          <w:bCs/>
          <w:sz w:val="24"/>
          <w:szCs w:val="24"/>
          <w:highlight w:val="none"/>
          <w:lang w:val="en-US" w:eastAsia="zh-CN"/>
        </w:rPr>
        <w:t>服务</w:t>
      </w:r>
      <w:r>
        <w:rPr>
          <w:rFonts w:hint="eastAsia" w:asciiTheme="minorEastAsia" w:hAnsiTheme="minorEastAsia" w:eastAsiaTheme="minorEastAsia" w:cstheme="minorEastAsia"/>
          <w:b/>
          <w:bCs/>
          <w:sz w:val="24"/>
          <w:szCs w:val="24"/>
          <w:highlight w:val="none"/>
        </w:rPr>
        <w:t>内容</w:t>
      </w:r>
      <w:r>
        <w:rPr>
          <w:rFonts w:hint="eastAsia" w:asciiTheme="minorEastAsia" w:hAnsiTheme="minorEastAsia" w:cstheme="minorEastAsia"/>
          <w:b/>
          <w:bCs/>
          <w:sz w:val="24"/>
          <w:szCs w:val="24"/>
          <w:highlight w:val="none"/>
          <w:lang w:val="en-US" w:eastAsia="zh-CN"/>
        </w:rPr>
        <w:t>及服务期</w:t>
      </w:r>
    </w:p>
    <w:p w14:paraId="1AD54B8C">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HAnsi" w:hAnsiTheme="minorHAnsi" w:eastAsiaTheme="minorEastAsia" w:cstheme="minorBidi"/>
          <w:b w:val="0"/>
          <w:bCs w:val="0"/>
          <w:color w:val="auto"/>
          <w:kern w:val="0"/>
          <w:sz w:val="24"/>
          <w:szCs w:val="24"/>
          <w:highlight w:val="none"/>
          <w:lang w:val="en-US" w:eastAsia="zh-Hans" w:bidi="ar-SA"/>
        </w:rPr>
      </w:pPr>
      <w:r>
        <w:rPr>
          <w:rFonts w:hint="eastAsia" w:cstheme="minorBidi"/>
          <w:b w:val="0"/>
          <w:bCs w:val="0"/>
          <w:color w:val="auto"/>
          <w:kern w:val="0"/>
          <w:sz w:val="24"/>
          <w:szCs w:val="24"/>
          <w:highlight w:val="none"/>
          <w:lang w:val="en-US" w:eastAsia="zh-CN" w:bidi="ar-SA"/>
        </w:rPr>
        <w:t>（一）</w:t>
      </w:r>
      <w:r>
        <w:rPr>
          <w:rFonts w:hint="eastAsia" w:asciiTheme="minorHAnsi" w:hAnsiTheme="minorHAnsi" w:eastAsiaTheme="minorEastAsia" w:cstheme="minorBidi"/>
          <w:b w:val="0"/>
          <w:bCs w:val="0"/>
          <w:color w:val="auto"/>
          <w:kern w:val="0"/>
          <w:sz w:val="24"/>
          <w:szCs w:val="24"/>
          <w:highlight w:val="none"/>
          <w:lang w:val="en-US" w:eastAsia="zh-CN" w:bidi="ar-SA"/>
        </w:rPr>
        <w:t>服务</w:t>
      </w:r>
      <w:r>
        <w:rPr>
          <w:rFonts w:hint="eastAsia" w:asciiTheme="minorHAnsi" w:hAnsiTheme="minorHAnsi" w:eastAsiaTheme="minorEastAsia" w:cstheme="minorBidi"/>
          <w:b w:val="0"/>
          <w:bCs w:val="0"/>
          <w:color w:val="auto"/>
          <w:kern w:val="0"/>
          <w:sz w:val="24"/>
          <w:szCs w:val="24"/>
          <w:highlight w:val="none"/>
          <w:lang w:val="en-US" w:eastAsia="zh-Hans" w:bidi="ar-SA"/>
        </w:rPr>
        <w:t>内容</w:t>
      </w:r>
    </w:p>
    <w:p w14:paraId="6B1E7DC5">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本次咨询服务的工作内容为金石路、沈纬二路、阿房路三条路共计51.13亩市政道路土地征收技术咨询服务：</w:t>
      </w:r>
    </w:p>
    <w:p w14:paraId="48714FE1">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cstheme="minorBidi"/>
          <w:color w:val="auto"/>
          <w:kern w:val="0"/>
          <w:sz w:val="24"/>
          <w:szCs w:val="24"/>
          <w:highlight w:val="none"/>
          <w:lang w:val="en-US" w:eastAsia="zh-CN" w:bidi="ar-SA"/>
        </w:rPr>
      </w:pPr>
      <w:r>
        <w:rPr>
          <w:rFonts w:hint="eastAsia" w:cstheme="minorBidi"/>
          <w:color w:val="auto"/>
          <w:kern w:val="0"/>
          <w:sz w:val="24"/>
          <w:szCs w:val="24"/>
          <w:highlight w:val="none"/>
          <w:lang w:val="en-US" w:eastAsia="zh-CN" w:bidi="ar-SA"/>
        </w:rPr>
        <w:t>1、土地征收社会稳定风险评估报告编制并通过专家评审；</w:t>
      </w:r>
    </w:p>
    <w:p w14:paraId="2F413EB5">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cstheme="minorBidi"/>
          <w:color w:val="auto"/>
          <w:kern w:val="0"/>
          <w:sz w:val="24"/>
          <w:szCs w:val="24"/>
          <w:highlight w:val="none"/>
          <w:lang w:val="en-US" w:eastAsia="zh-CN" w:bidi="ar-SA"/>
        </w:rPr>
      </w:pPr>
      <w:r>
        <w:rPr>
          <w:rFonts w:hint="eastAsia" w:cstheme="minorBidi"/>
          <w:color w:val="auto"/>
          <w:kern w:val="0"/>
          <w:sz w:val="24"/>
          <w:szCs w:val="24"/>
          <w:highlight w:val="none"/>
          <w:lang w:val="en-US" w:eastAsia="zh-CN" w:bidi="ar-SA"/>
        </w:rPr>
        <w:t>2、完成土地征收六步骤的资料组卷工作；</w:t>
      </w:r>
    </w:p>
    <w:p w14:paraId="0B5BC0FF">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cstheme="minorBidi"/>
          <w:color w:val="auto"/>
          <w:kern w:val="0"/>
          <w:sz w:val="24"/>
          <w:szCs w:val="24"/>
          <w:highlight w:val="none"/>
          <w:lang w:val="en-US" w:eastAsia="zh-CN" w:bidi="ar-SA"/>
        </w:rPr>
      </w:pPr>
      <w:r>
        <w:rPr>
          <w:rFonts w:hint="eastAsia" w:cstheme="minorBidi"/>
          <w:color w:val="auto"/>
          <w:kern w:val="0"/>
          <w:sz w:val="24"/>
          <w:szCs w:val="24"/>
          <w:highlight w:val="none"/>
          <w:lang w:val="en-US" w:eastAsia="zh-CN" w:bidi="ar-SA"/>
        </w:rPr>
        <w:t>3、完成地质灾害评估报告的编制并通过专家评审；</w:t>
      </w:r>
    </w:p>
    <w:p w14:paraId="528570B9">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cstheme="minorBidi"/>
          <w:color w:val="auto"/>
          <w:kern w:val="0"/>
          <w:sz w:val="24"/>
          <w:szCs w:val="24"/>
          <w:highlight w:val="none"/>
          <w:lang w:val="en-US" w:eastAsia="zh-CN" w:bidi="ar-SA"/>
        </w:rPr>
      </w:pPr>
      <w:r>
        <w:rPr>
          <w:rFonts w:hint="eastAsia" w:cstheme="minorBidi"/>
          <w:color w:val="auto"/>
          <w:kern w:val="0"/>
          <w:sz w:val="24"/>
          <w:szCs w:val="24"/>
          <w:highlight w:val="none"/>
          <w:lang w:val="en-US" w:eastAsia="zh-CN" w:bidi="ar-SA"/>
        </w:rPr>
        <w:t>4、完成报省、市、区三级报批材料组卷、递送和电子报盘工作，及时跟踪项目进度，推进手续办理；最终取得省级、市级、区级批文。</w:t>
      </w:r>
    </w:p>
    <w:p w14:paraId="5D8F86AE">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cstheme="minorBidi"/>
          <w:b w:val="0"/>
          <w:bCs w:val="0"/>
          <w:color w:val="auto"/>
          <w:kern w:val="0"/>
          <w:sz w:val="24"/>
          <w:szCs w:val="24"/>
          <w:highlight w:val="none"/>
          <w:lang w:val="en-US" w:eastAsia="zh-CN" w:bidi="ar-SA"/>
        </w:rPr>
      </w:pPr>
      <w:r>
        <w:rPr>
          <w:rFonts w:hint="eastAsia" w:cstheme="minorBidi"/>
          <w:b w:val="0"/>
          <w:bCs w:val="0"/>
          <w:color w:val="auto"/>
          <w:kern w:val="0"/>
          <w:sz w:val="24"/>
          <w:szCs w:val="24"/>
          <w:highlight w:val="none"/>
          <w:lang w:val="en-US" w:eastAsia="zh-CN" w:bidi="ar-SA"/>
        </w:rPr>
        <w:t>（二）服务期</w:t>
      </w:r>
    </w:p>
    <w:p w14:paraId="7F53EA63">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default" w:cstheme="minorBidi"/>
          <w:color w:val="auto"/>
          <w:kern w:val="0"/>
          <w:sz w:val="24"/>
          <w:szCs w:val="24"/>
          <w:highlight w:val="none"/>
          <w:lang w:val="en-US" w:eastAsia="zh-CN" w:bidi="ar-SA"/>
        </w:rPr>
      </w:pPr>
      <w:r>
        <w:rPr>
          <w:rFonts w:hint="eastAsia" w:cstheme="minorBidi"/>
          <w:color w:val="auto"/>
          <w:kern w:val="0"/>
          <w:sz w:val="24"/>
          <w:szCs w:val="24"/>
          <w:highlight w:val="none"/>
          <w:lang w:val="en-US" w:eastAsia="zh-CN" w:bidi="ar-SA"/>
        </w:rPr>
        <w:t>自合同签订之日起至采购人验收合格之日止（乙方完成合同约定服务内容，最终取得省级、市级、区级批文。）</w:t>
      </w:r>
    </w:p>
    <w:p w14:paraId="03F3D5F1">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hint="eastAsia" w:asciiTheme="minorEastAsia" w:hAnsiTheme="minorEastAsia" w:eastAsiaTheme="minorEastAsia" w:cstheme="minorEastAsia"/>
          <w:b/>
          <w:bCs/>
          <w:kern w:val="0"/>
          <w:sz w:val="24"/>
          <w:szCs w:val="24"/>
          <w:highlight w:val="none"/>
        </w:rPr>
      </w:pPr>
      <w:r>
        <w:rPr>
          <w:rFonts w:hint="eastAsia" w:asciiTheme="minorEastAsia" w:hAnsiTheme="minorEastAsia" w:eastAsiaTheme="minorEastAsia" w:cstheme="minorEastAsia"/>
          <w:b/>
          <w:bCs/>
          <w:sz w:val="24"/>
          <w:szCs w:val="24"/>
          <w:highlight w:val="none"/>
        </w:rPr>
        <w:t xml:space="preserve">第二条  </w:t>
      </w:r>
      <w:r>
        <w:rPr>
          <w:rFonts w:hint="eastAsia" w:asciiTheme="minorEastAsia" w:hAnsiTheme="minorEastAsia" w:cstheme="minorEastAsia"/>
          <w:b/>
          <w:bCs/>
          <w:sz w:val="24"/>
          <w:szCs w:val="24"/>
          <w:highlight w:val="none"/>
          <w:lang w:val="en-US" w:eastAsia="zh-CN"/>
        </w:rPr>
        <w:t>技术要求及</w:t>
      </w:r>
      <w:r>
        <w:rPr>
          <w:rFonts w:hint="eastAsia" w:asciiTheme="minorEastAsia" w:hAnsiTheme="minorEastAsia" w:eastAsiaTheme="minorEastAsia" w:cstheme="minorEastAsia"/>
          <w:b/>
          <w:bCs/>
          <w:sz w:val="24"/>
          <w:szCs w:val="24"/>
          <w:highlight w:val="none"/>
        </w:rPr>
        <w:t>验收标准</w:t>
      </w:r>
    </w:p>
    <w:p w14:paraId="2AEC341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cstheme="minorBidi"/>
          <w:color w:val="auto"/>
          <w:kern w:val="0"/>
          <w:sz w:val="24"/>
          <w:szCs w:val="24"/>
          <w:highlight w:val="none"/>
          <w:lang w:val="en-US" w:eastAsia="zh-CN" w:bidi="ar-SA"/>
        </w:rPr>
      </w:pPr>
      <w:r>
        <w:rPr>
          <w:rFonts w:hint="eastAsia" w:cstheme="minorBidi"/>
          <w:color w:val="auto"/>
          <w:kern w:val="0"/>
          <w:sz w:val="24"/>
          <w:szCs w:val="24"/>
          <w:highlight w:val="none"/>
          <w:lang w:val="en-US" w:eastAsia="zh-CN" w:bidi="ar-SA"/>
        </w:rPr>
        <w:t>（一）技术要求</w:t>
      </w:r>
    </w:p>
    <w:p w14:paraId="7187A98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cstheme="minorBidi"/>
          <w:color w:val="auto"/>
          <w:kern w:val="0"/>
          <w:sz w:val="24"/>
          <w:szCs w:val="24"/>
          <w:highlight w:val="none"/>
          <w:lang w:val="en-US" w:eastAsia="zh-CN" w:bidi="ar-SA"/>
        </w:rPr>
      </w:pPr>
      <w:r>
        <w:rPr>
          <w:rFonts w:hint="eastAsia" w:cstheme="minorBidi"/>
          <w:color w:val="auto"/>
          <w:kern w:val="0"/>
          <w:sz w:val="24"/>
          <w:szCs w:val="24"/>
          <w:highlight w:val="none"/>
          <w:lang w:val="en-US" w:eastAsia="zh-CN" w:bidi="ar-SA"/>
        </w:rPr>
        <w:t>完成各项专业咨询服务，取得省级、市级、区级土地批复文件，确保工作成果符合《中华人民共和国土地管理法》《中华人民共和国土地管理法实施条例》等法律法规以及部、省、市有关规定要求。</w:t>
      </w:r>
    </w:p>
    <w:p w14:paraId="75CA955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cstheme="minorBidi"/>
          <w:color w:val="auto"/>
          <w:kern w:val="0"/>
          <w:sz w:val="24"/>
          <w:szCs w:val="24"/>
          <w:highlight w:val="none"/>
          <w:lang w:val="en-US" w:eastAsia="zh-CN" w:bidi="ar-SA"/>
        </w:rPr>
      </w:pPr>
      <w:r>
        <w:rPr>
          <w:rFonts w:hint="eastAsia" w:cstheme="minorBidi"/>
          <w:color w:val="auto"/>
          <w:kern w:val="0"/>
          <w:sz w:val="24"/>
          <w:szCs w:val="24"/>
          <w:highlight w:val="none"/>
          <w:lang w:val="en-US" w:eastAsia="zh-CN" w:bidi="ar-SA"/>
        </w:rPr>
        <w:t>供应商在执业过程中对采购人提交的全部材料均负有保密义务，对执业过程中知悉的国家机密和采购人商业机密应遵守国家和有关的保密条例，不得向他人提供或泄密。</w:t>
      </w:r>
    </w:p>
    <w:p w14:paraId="4DAC4B0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cstheme="minorBidi"/>
          <w:color w:val="auto"/>
          <w:kern w:val="0"/>
          <w:sz w:val="24"/>
          <w:szCs w:val="24"/>
          <w:highlight w:val="none"/>
          <w:lang w:val="en-US" w:eastAsia="zh-CN" w:bidi="ar-SA"/>
        </w:rPr>
      </w:pPr>
      <w:r>
        <w:rPr>
          <w:rFonts w:hint="eastAsia" w:cstheme="minorBidi"/>
          <w:color w:val="auto"/>
          <w:kern w:val="0"/>
          <w:sz w:val="24"/>
          <w:szCs w:val="24"/>
          <w:highlight w:val="none"/>
          <w:lang w:val="en-US" w:eastAsia="zh-CN" w:bidi="ar-SA"/>
        </w:rPr>
        <w:t>（二）验收标准</w:t>
      </w:r>
    </w:p>
    <w:p w14:paraId="1514A42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cstheme="minorBidi"/>
          <w:color w:val="auto"/>
          <w:kern w:val="0"/>
          <w:sz w:val="24"/>
          <w:szCs w:val="24"/>
          <w:highlight w:val="none"/>
          <w:lang w:val="en-US" w:eastAsia="zh-CN" w:bidi="ar-SA"/>
        </w:rPr>
      </w:pPr>
      <w:r>
        <w:rPr>
          <w:rFonts w:hint="eastAsia" w:cstheme="minorBidi"/>
          <w:color w:val="auto"/>
          <w:kern w:val="0"/>
          <w:sz w:val="24"/>
          <w:szCs w:val="24"/>
          <w:highlight w:val="none"/>
          <w:lang w:val="en-US" w:eastAsia="zh-CN" w:bidi="ar-SA"/>
        </w:rPr>
        <w:t>完成各项专业咨询服务，取得省级、市级、区级土地批复文件，确保工作成果符合《中华人民共和国土地管理法》《中华人民共和国土地管理法实施条例》等法律法规以及部、省、市有关规定要求。</w:t>
      </w:r>
    </w:p>
    <w:p w14:paraId="552C0826">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第三条  合同金额及支付方式</w:t>
      </w:r>
    </w:p>
    <w:p w14:paraId="1E47277F">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eastAsia="zh-CN"/>
        </w:rPr>
        <w:t>（</w:t>
      </w:r>
      <w:r>
        <w:rPr>
          <w:rFonts w:hint="eastAsia" w:asciiTheme="minorEastAsia" w:hAnsiTheme="minorEastAsia" w:cstheme="minorEastAsia"/>
          <w:sz w:val="24"/>
          <w:szCs w:val="24"/>
          <w:highlight w:val="none"/>
          <w:lang w:val="en-US" w:eastAsia="zh-CN"/>
        </w:rPr>
        <w:t>一</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合同金额</w:t>
      </w:r>
    </w:p>
    <w:p w14:paraId="2DC5B7E9">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本项目为固定总价合同，合同总金额为¥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元（大写：人民币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）；其中</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金石路、沈纬二路服务费用为¥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元（大写：人民币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阿房路服务费用为¥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元（大写：人民币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13C9118">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以上费用为含税金额，且包含了为完成本项目达到国家及甲方验收标准而产生的所有费用，包括材料编制费、会议费、服务费、风险及税费等所需的全部费用。</w:t>
      </w:r>
      <w:bookmarkStart w:id="16" w:name="_GoBack"/>
      <w:bookmarkEnd w:id="16"/>
    </w:p>
    <w:p w14:paraId="342508C9">
      <w:pPr>
        <w:keepNext w:val="0"/>
        <w:keepLines w:val="0"/>
        <w:pageBreakBefore w:val="0"/>
        <w:numPr>
          <w:ilvl w:val="0"/>
          <w:numId w:val="0"/>
        </w:numPr>
        <w:kinsoku/>
        <w:wordWrap/>
        <w:overflowPunct/>
        <w:topLinePunct w:val="0"/>
        <w:autoSpaceDE/>
        <w:autoSpaceDN/>
        <w:bidi w:val="0"/>
        <w:adjustRightInd/>
        <w:snapToGrid/>
        <w:spacing w:line="360" w:lineRule="auto"/>
        <w:ind w:leftChars="200"/>
        <w:jc w:val="left"/>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二</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支付方式</w:t>
      </w:r>
    </w:p>
    <w:p w14:paraId="7473487C">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本协议签订后15个工作日内，甲方向乙方支付服务费用总额的10％作为预付款，费用到账后，乙方按约定启动各项工作；待乙方完成金石路、沈纬二路、阿房路组卷报批资料编制、上报分局后15个工作日内，甲方支付该项下服务费用的30%；待乙方完成完成金石路、沈纬二路、阿房路组卷资料上报省厅后15个工作日内，甲方支付该项下服务费用的30%；待乙方待取得省级、市级、区级土地审批件后15个工作日内，甲方支付该项下服务费用的30%。甲方付款前，乙方须提供甲方财务认可的等额税务发票</w:t>
      </w:r>
    </w:p>
    <w:p w14:paraId="2DD47D3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CN"/>
        </w:rPr>
        <w:t>甲方</w:t>
      </w:r>
      <w:r>
        <w:rPr>
          <w:rFonts w:hint="eastAsia" w:asciiTheme="minorEastAsia" w:hAnsiTheme="minorEastAsia" w:eastAsiaTheme="minorEastAsia" w:cstheme="minorEastAsia"/>
          <w:sz w:val="24"/>
          <w:szCs w:val="24"/>
        </w:rPr>
        <w:t>付款前，乙方须提供符合规定的等额有效发票。否则甲方有权拒绝付款且不构成违约。乙方应保证发票的合法性和真实性，因乙方开具的发票不规范、不合法或涉嫌虚开发票引起税务问题，乙方需依法向甲方重新开具发票，并向甲方承担赔偿责任，包括但不仅限于税款、滞纳金、罚款及相关损失等。</w:t>
      </w:r>
    </w:p>
    <w:p w14:paraId="5B230800">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cstheme="minorEastAsia"/>
          <w:kern w:val="0"/>
          <w:sz w:val="24"/>
          <w:szCs w:val="24"/>
          <w:lang w:val="en-US" w:eastAsia="zh-CN"/>
        </w:rPr>
        <w:t>3、</w:t>
      </w:r>
      <w:r>
        <w:rPr>
          <w:rFonts w:hint="eastAsia" w:asciiTheme="minorEastAsia" w:hAnsiTheme="minorEastAsia" w:eastAsiaTheme="minorEastAsia" w:cstheme="minorEastAsia"/>
          <w:kern w:val="0"/>
          <w:sz w:val="24"/>
          <w:szCs w:val="24"/>
        </w:rPr>
        <w:t>乙方收款银行信息：</w:t>
      </w:r>
    </w:p>
    <w:p w14:paraId="15A5ECE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Theme="minorEastAsia" w:hAnsi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支付方式：银行转账</w:t>
      </w:r>
    </w:p>
    <w:p w14:paraId="1247538A">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default" w:asciiTheme="minorEastAsia" w:hAnsiTheme="minorEastAsia" w:cstheme="minorEastAsia"/>
          <w:kern w:val="0"/>
          <w:sz w:val="24"/>
          <w:szCs w:val="24"/>
          <w:u w:val="single"/>
          <w:lang w:val="en-US" w:eastAsia="zh-CN"/>
        </w:rPr>
      </w:pPr>
      <w:r>
        <w:rPr>
          <w:rFonts w:hint="eastAsia" w:asciiTheme="minorEastAsia" w:hAnsiTheme="minorEastAsia" w:cstheme="minorEastAsia"/>
          <w:kern w:val="0"/>
          <w:sz w:val="24"/>
          <w:szCs w:val="24"/>
          <w:lang w:val="en-US" w:eastAsia="zh-CN"/>
        </w:rPr>
        <w:t>账户名称：</w:t>
      </w:r>
      <w:r>
        <w:rPr>
          <w:rFonts w:hint="eastAsia" w:asciiTheme="minorEastAsia" w:hAnsiTheme="minorEastAsia" w:cstheme="minorEastAsia"/>
          <w:kern w:val="0"/>
          <w:sz w:val="24"/>
          <w:szCs w:val="24"/>
          <w:u w:val="single"/>
          <w:lang w:val="en-US" w:eastAsia="zh-CN"/>
        </w:rPr>
        <w:t xml:space="preserve">                     </w:t>
      </w:r>
    </w:p>
    <w:p w14:paraId="05BD8AD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default" w:asciiTheme="minorEastAsia" w:hAnsiTheme="minorEastAsia" w:eastAsiaTheme="minorEastAsia" w:cstheme="minorEastAsia"/>
          <w:kern w:val="0"/>
          <w:sz w:val="24"/>
          <w:szCs w:val="24"/>
          <w:u w:val="single"/>
          <w:lang w:val="en-US" w:eastAsia="zh-CN"/>
        </w:rPr>
      </w:pPr>
      <w:r>
        <w:rPr>
          <w:rFonts w:hint="eastAsia" w:asciiTheme="minorEastAsia" w:hAnsiTheme="minorEastAsia" w:cstheme="minorEastAsia"/>
          <w:kern w:val="0"/>
          <w:sz w:val="24"/>
          <w:szCs w:val="24"/>
          <w:lang w:val="en-US" w:eastAsia="zh-CN"/>
        </w:rPr>
        <w:t>开户行：</w:t>
      </w:r>
      <w:r>
        <w:rPr>
          <w:rFonts w:hint="eastAsia" w:asciiTheme="minorEastAsia" w:hAnsiTheme="minorEastAsia" w:cstheme="minorEastAsia"/>
          <w:kern w:val="0"/>
          <w:sz w:val="24"/>
          <w:szCs w:val="24"/>
          <w:u w:val="single"/>
          <w:lang w:val="en-US" w:eastAsia="zh-CN"/>
        </w:rPr>
        <w:t xml:space="preserve">                       </w:t>
      </w:r>
    </w:p>
    <w:p w14:paraId="4A53EB6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default" w:asciiTheme="minorEastAsia" w:hAnsiTheme="minorEastAsia" w:eastAsiaTheme="minorEastAsia" w:cstheme="minorEastAsia"/>
          <w:kern w:val="0"/>
          <w:sz w:val="24"/>
          <w:szCs w:val="24"/>
          <w:u w:val="single"/>
          <w:lang w:val="en-US" w:eastAsia="zh-CN"/>
        </w:rPr>
      </w:pPr>
      <w:r>
        <w:rPr>
          <w:rFonts w:hint="eastAsia" w:asciiTheme="minorEastAsia" w:hAnsiTheme="minorEastAsia" w:eastAsiaTheme="minorEastAsia" w:cstheme="minorEastAsia"/>
          <w:kern w:val="0"/>
          <w:sz w:val="24"/>
          <w:szCs w:val="24"/>
        </w:rPr>
        <w:t>账号：</w:t>
      </w:r>
      <w:r>
        <w:rPr>
          <w:rFonts w:hint="eastAsia" w:asciiTheme="minorEastAsia" w:hAnsiTheme="minorEastAsia" w:cstheme="minorEastAsia"/>
          <w:kern w:val="0"/>
          <w:sz w:val="24"/>
          <w:szCs w:val="24"/>
          <w:u w:val="single"/>
          <w:lang w:val="en-US" w:eastAsia="zh-CN"/>
        </w:rPr>
        <w:t xml:space="preserve">                         </w:t>
      </w:r>
    </w:p>
    <w:p w14:paraId="2762A48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default" w:asciiTheme="minorEastAsia" w:hAnsiTheme="minorEastAsia" w:eastAsiaTheme="minorEastAsia" w:cstheme="minorEastAsia"/>
          <w:kern w:val="0"/>
          <w:sz w:val="24"/>
          <w:szCs w:val="24"/>
          <w:u w:val="single"/>
          <w:lang w:val="en-US" w:eastAsia="zh-CN"/>
        </w:rPr>
      </w:pPr>
      <w:r>
        <w:rPr>
          <w:rFonts w:hint="eastAsia" w:asciiTheme="minorEastAsia" w:hAnsiTheme="minorEastAsia" w:eastAsiaTheme="minorEastAsia" w:cstheme="minorEastAsia"/>
          <w:kern w:val="0"/>
          <w:sz w:val="24"/>
          <w:szCs w:val="24"/>
        </w:rPr>
        <w:t>地址：</w:t>
      </w:r>
      <w:r>
        <w:rPr>
          <w:rFonts w:hint="eastAsia" w:asciiTheme="minorEastAsia" w:hAnsiTheme="minorEastAsia" w:cstheme="minorEastAsia"/>
          <w:kern w:val="0"/>
          <w:sz w:val="24"/>
          <w:szCs w:val="24"/>
          <w:u w:val="single"/>
          <w:lang w:val="en-US" w:eastAsia="zh-CN"/>
        </w:rPr>
        <w:t xml:space="preserve">                         </w:t>
      </w:r>
    </w:p>
    <w:p w14:paraId="2FF7EE6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本账户为乙方在本项目上收取甲方款项的唯一、合法、固定的账户，在合同履行期间保持不变，不得以其他任何单位或个人名义进行收款。若收款单位、账号与本条款约定的不一致，甲方可不予支付。</w:t>
      </w:r>
    </w:p>
    <w:p w14:paraId="49CF0578">
      <w:pPr>
        <w:pStyle w:val="5"/>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lang w:val="en-US" w:eastAsia="zh-CN"/>
        </w:rPr>
        <w:t xml:space="preserve">第四条  </w:t>
      </w:r>
      <w:r>
        <w:rPr>
          <w:rFonts w:hint="eastAsia" w:asciiTheme="minorEastAsia" w:hAnsiTheme="minorEastAsia" w:eastAsiaTheme="minorEastAsia" w:cstheme="minorEastAsia"/>
          <w:b/>
          <w:sz w:val="24"/>
          <w:szCs w:val="24"/>
          <w:highlight w:val="none"/>
        </w:rPr>
        <w:t>成果资料要求</w:t>
      </w:r>
    </w:p>
    <w:p w14:paraId="3F4C4E2A">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44"/>
          <w:sz w:val="24"/>
          <w:szCs w:val="24"/>
          <w:highlight w:val="none"/>
          <w:lang w:val="en-US" w:eastAsia="zh-CN"/>
        </w:rPr>
        <w:t>1、</w:t>
      </w:r>
      <w:r>
        <w:rPr>
          <w:rFonts w:hint="eastAsia" w:asciiTheme="minorEastAsia" w:hAnsiTheme="minorEastAsia" w:eastAsiaTheme="minorEastAsia" w:cstheme="minorEastAsia"/>
          <w:kern w:val="44"/>
          <w:sz w:val="24"/>
          <w:szCs w:val="24"/>
          <w:highlight w:val="none"/>
        </w:rPr>
        <w:t>按甲方要求提供</w:t>
      </w:r>
      <w:r>
        <w:rPr>
          <w:rFonts w:hint="eastAsia" w:asciiTheme="minorEastAsia" w:hAnsiTheme="minorEastAsia" w:eastAsiaTheme="minorEastAsia" w:cstheme="minorEastAsia"/>
          <w:kern w:val="44"/>
          <w:sz w:val="24"/>
          <w:szCs w:val="24"/>
          <w:highlight w:val="none"/>
          <w:lang w:val="en-US" w:eastAsia="zh-CN"/>
        </w:rPr>
        <w:t>咨询</w:t>
      </w:r>
      <w:r>
        <w:rPr>
          <w:rFonts w:hint="eastAsia" w:asciiTheme="minorEastAsia" w:hAnsiTheme="minorEastAsia" w:eastAsiaTheme="minorEastAsia" w:cstheme="minorEastAsia"/>
          <w:kern w:val="44"/>
          <w:sz w:val="24"/>
          <w:szCs w:val="24"/>
          <w:highlight w:val="none"/>
        </w:rPr>
        <w:t>服务成果</w:t>
      </w:r>
      <w:r>
        <w:rPr>
          <w:rFonts w:hint="eastAsia" w:asciiTheme="minorEastAsia" w:hAnsiTheme="minorEastAsia" w:eastAsiaTheme="minorEastAsia" w:cstheme="minorEastAsia"/>
          <w:sz w:val="24"/>
          <w:szCs w:val="24"/>
          <w:highlight w:val="none"/>
        </w:rPr>
        <w:t>。</w:t>
      </w:r>
    </w:p>
    <w:p w14:paraId="07D5D035">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工作成果的所有权归属于</w:t>
      </w:r>
      <w:r>
        <w:rPr>
          <w:rFonts w:hint="eastAsia" w:asciiTheme="minorEastAsia" w:hAnsiTheme="minorEastAsia" w:eastAsiaTheme="minorEastAsia" w:cstheme="minorEastAsia"/>
          <w:sz w:val="24"/>
          <w:szCs w:val="24"/>
          <w:highlight w:val="none"/>
          <w:lang w:val="en-US" w:eastAsia="zh-CN"/>
        </w:rPr>
        <w:t>甲方</w:t>
      </w:r>
      <w:r>
        <w:rPr>
          <w:rFonts w:hint="eastAsia" w:asciiTheme="minorEastAsia" w:hAnsiTheme="minorEastAsia" w:eastAsiaTheme="minorEastAsia" w:cstheme="minorEastAsia"/>
          <w:sz w:val="24"/>
          <w:szCs w:val="24"/>
          <w:highlight w:val="none"/>
        </w:rPr>
        <w:t>，乙方应对项目执行过程中及完成后的资料和成果保密。</w:t>
      </w:r>
    </w:p>
    <w:p w14:paraId="4B8A670B">
      <w:pPr>
        <w:keepNext w:val="0"/>
        <w:keepLines w:val="0"/>
        <w:pageBreakBefore w:val="0"/>
        <w:numPr>
          <w:ilvl w:val="0"/>
          <w:numId w:val="0"/>
        </w:numPr>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第五条</w:t>
      </w:r>
      <w:r>
        <w:rPr>
          <w:rFonts w:hint="eastAsia" w:asciiTheme="minorEastAsia" w:hAnsiTheme="minorEastAsia" w:eastAsiaTheme="minorEastAsia" w:cstheme="minorEastAsia"/>
          <w:b/>
          <w:sz w:val="24"/>
          <w:szCs w:val="24"/>
        </w:rPr>
        <w:t xml:space="preserve"> </w:t>
      </w:r>
      <w:r>
        <w:rPr>
          <w:rFonts w:hint="eastAsia" w:asciiTheme="minorEastAsia" w:hAnsiTheme="minorEastAsia" w:eastAsiaTheme="minorEastAsia" w:cstheme="minorEastAsia"/>
          <w:b/>
          <w:sz w:val="24"/>
          <w:szCs w:val="24"/>
          <w:lang w:val="en-US" w:eastAsia="zh-CN"/>
        </w:rPr>
        <w:t xml:space="preserve"> </w:t>
      </w:r>
      <w:r>
        <w:rPr>
          <w:rFonts w:hint="eastAsia" w:asciiTheme="minorEastAsia" w:hAnsiTheme="minorEastAsia" w:eastAsiaTheme="minorEastAsia" w:cstheme="minorEastAsia"/>
          <w:b/>
          <w:sz w:val="24"/>
          <w:szCs w:val="24"/>
        </w:rPr>
        <w:t>甲、乙双方的主要责任和权利</w:t>
      </w:r>
    </w:p>
    <w:p w14:paraId="7CB912FC">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outlineLvl w:val="9"/>
        <w:rPr>
          <w:rFonts w:hint="eastAsia" w:asciiTheme="minorEastAsia" w:hAnsiTheme="minorEastAsia" w:eastAsiaTheme="minorEastAsia" w:cstheme="minorEastAsia"/>
          <w:b/>
          <w:sz w:val="24"/>
          <w:szCs w:val="24"/>
          <w:highlight w:val="none"/>
        </w:rPr>
      </w:pPr>
      <w:bookmarkStart w:id="1" w:name="_Toc25911"/>
      <w:bookmarkStart w:id="2" w:name="_Toc80868652"/>
      <w:bookmarkStart w:id="3" w:name="_Toc58836811"/>
      <w:bookmarkStart w:id="4" w:name="_Toc96001587"/>
      <w:bookmarkStart w:id="5" w:name="_Toc23394"/>
      <w:r>
        <w:rPr>
          <w:rFonts w:hint="eastAsia" w:asciiTheme="minorEastAsia" w:hAnsiTheme="minorEastAsia" w:cstheme="minorEastAsia"/>
          <w:b/>
          <w:sz w:val="24"/>
          <w:szCs w:val="24"/>
          <w:highlight w:val="none"/>
          <w:lang w:val="en-US" w:eastAsia="zh-CN"/>
        </w:rPr>
        <w:t>（一）</w:t>
      </w:r>
      <w:r>
        <w:rPr>
          <w:rFonts w:hint="eastAsia" w:asciiTheme="minorEastAsia" w:hAnsiTheme="minorEastAsia" w:eastAsiaTheme="minorEastAsia" w:cstheme="minorEastAsia"/>
          <w:b/>
          <w:sz w:val="24"/>
          <w:szCs w:val="24"/>
          <w:highlight w:val="none"/>
        </w:rPr>
        <w:t>甲方的权利和义务</w:t>
      </w:r>
      <w:bookmarkEnd w:id="1"/>
      <w:bookmarkEnd w:id="2"/>
      <w:bookmarkEnd w:id="3"/>
      <w:bookmarkEnd w:id="4"/>
      <w:bookmarkEnd w:id="5"/>
    </w:p>
    <w:p w14:paraId="6BBE9129">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甲方应于本合同签订之日起5日内指派专人同乙方对接委托业务具体事宜及作业要求，提交甲方目前持有的与本合同有关的资料。</w:t>
      </w:r>
    </w:p>
    <w:p w14:paraId="70E14166">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甲方应为乙方提供开展服务所需的基本条件，配合乙方开展相关工作</w:t>
      </w:r>
      <w:r>
        <w:rPr>
          <w:rFonts w:hint="eastAsia" w:asciiTheme="minorEastAsia" w:hAnsiTheme="minorEastAsia" w:eastAsiaTheme="minorEastAsia" w:cstheme="minorEastAsia"/>
          <w:sz w:val="24"/>
          <w:szCs w:val="24"/>
          <w:highlight w:val="none"/>
          <w:lang w:eastAsia="zh-CN"/>
        </w:rPr>
        <w:t>。</w:t>
      </w:r>
    </w:p>
    <w:p w14:paraId="4927CD8F">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甲方按合同约定按时支付乙方合同价款。</w:t>
      </w:r>
    </w:p>
    <w:p w14:paraId="2616766D">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对乙方提出的有关需要甲方解决的问题，及时答复并处理。</w:t>
      </w:r>
    </w:p>
    <w:p w14:paraId="3BCEEE09">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因甲方原因导致乙方工作量增加的，双方协商一致后顺延本合同工期。</w:t>
      </w:r>
    </w:p>
    <w:p w14:paraId="1696A7E3">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因国家审批、政策调整等原因致使本合同约定的工作暂停或终止，或因政策变化或审批环节变化，本合同项下的相关工作内容不构成相关审批要件时，甲方有权暂停或终止本合同项下的相关工作，并扣除相应工作内容的费用，不构成违约，甲方无须对乙方进行经济赔偿、补偿并承担任何责任。</w:t>
      </w:r>
    </w:p>
    <w:p w14:paraId="4769002A">
      <w:pPr>
        <w:pStyle w:val="5"/>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lang w:val="en-US" w:eastAsia="zh-CN"/>
        </w:rPr>
        <w:t>（二）</w:t>
      </w:r>
      <w:r>
        <w:rPr>
          <w:rFonts w:hint="eastAsia" w:asciiTheme="minorEastAsia" w:hAnsiTheme="minorEastAsia" w:eastAsiaTheme="minorEastAsia" w:cstheme="minorEastAsia"/>
          <w:b/>
          <w:bCs/>
          <w:sz w:val="24"/>
          <w:szCs w:val="24"/>
          <w:highlight w:val="none"/>
        </w:rPr>
        <w:t>乙方的权利和义务</w:t>
      </w:r>
    </w:p>
    <w:p w14:paraId="0CC00DF7">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1、应按国家或者行业技术规范、标准、规程，及甲方的委托书要求进行专项服务内容事项办理。</w:t>
      </w:r>
    </w:p>
    <w:p w14:paraId="04DBA687">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乙方在执业过程中对甲方提交的全部材料均负有保密义务，对执业过程中知悉的国家机密和甲方商业机密应遵守国家和有关的保密条例，不得向他人提供或泄密。</w:t>
      </w:r>
    </w:p>
    <w:p w14:paraId="1AF073DA">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达到本合同约定付款条件后应向甲方提出付款申请及提供合同约定的相关资料。若乙方未及时提供前述资料，甲方可相应顺延付款时间，并不承担</w:t>
      </w:r>
      <w:r>
        <w:rPr>
          <w:rFonts w:hint="eastAsia" w:asciiTheme="minorEastAsia" w:hAnsiTheme="minorEastAsia" w:eastAsiaTheme="minorEastAsia" w:cstheme="minorEastAsia"/>
          <w:sz w:val="24"/>
          <w:szCs w:val="24"/>
          <w:highlight w:val="none"/>
          <w:lang w:val="en-US" w:eastAsia="zh-CN"/>
        </w:rPr>
        <w:t>责</w:t>
      </w:r>
      <w:r>
        <w:rPr>
          <w:rFonts w:hint="eastAsia" w:asciiTheme="minorEastAsia" w:hAnsiTheme="minorEastAsia" w:eastAsiaTheme="minorEastAsia" w:cstheme="minorEastAsia"/>
          <w:sz w:val="24"/>
          <w:szCs w:val="24"/>
          <w:highlight w:val="none"/>
        </w:rPr>
        <w:t>任</w:t>
      </w:r>
      <w:r>
        <w:rPr>
          <w:rFonts w:hint="eastAsia" w:asciiTheme="minorEastAsia" w:hAnsiTheme="minorEastAsia" w:eastAsiaTheme="minorEastAsia" w:cstheme="minorEastAsia"/>
          <w:sz w:val="24"/>
          <w:szCs w:val="24"/>
          <w:highlight w:val="none"/>
          <w:lang w:eastAsia="zh-CN"/>
        </w:rPr>
        <w:t>。</w:t>
      </w:r>
    </w:p>
    <w:p w14:paraId="7D27AB87">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按甲方要求，以书面形式及时向甲方报告工作进展及工作安排等情况以便甲方及时调整工作进展。</w:t>
      </w:r>
    </w:p>
    <w:p w14:paraId="5A26EC0A">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 xml:space="preserve">第六条 </w:t>
      </w:r>
      <w:r>
        <w:rPr>
          <w:rFonts w:hint="eastAsia" w:asciiTheme="minorEastAsia" w:hAnsiTheme="minorEastAsia" w:eastAsiaTheme="minorEastAsia" w:cstheme="minorEastAsia"/>
          <w:b/>
          <w:bCs/>
          <w:sz w:val="24"/>
          <w:szCs w:val="24"/>
        </w:rPr>
        <w:t xml:space="preserve"> 违约责任</w:t>
      </w:r>
    </w:p>
    <w:p w14:paraId="50EAFE82">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1、乙方在履行本合同过程中存在重大失误或损害甲方利益等行为的，乙方除负责及时采取有效补救措施外，还应向甲方支付合同总费用5%的违约金。</w:t>
      </w:r>
    </w:p>
    <w:p w14:paraId="02E49C49">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2、乙方在合同履行过程中，未能按照合同约定及甲方要求的质量、进度提交工作成果时，乙方应当向甲方进行书面解释，并在</w:t>
      </w:r>
      <w:r>
        <w:rPr>
          <w:rFonts w:hint="eastAsia" w:asciiTheme="minorEastAsia" w:hAnsiTheme="minorEastAsia" w:cstheme="minorEastAsia"/>
          <w:sz w:val="24"/>
          <w:szCs w:val="24"/>
          <w:lang w:val="en-US" w:eastAsia="zh-CN"/>
        </w:rPr>
        <w:t>15</w:t>
      </w:r>
      <w:r>
        <w:rPr>
          <w:rFonts w:hint="eastAsia" w:asciiTheme="minorEastAsia" w:hAnsiTheme="minorEastAsia" w:eastAsiaTheme="minorEastAsia" w:cstheme="minorEastAsia"/>
          <w:sz w:val="24"/>
          <w:szCs w:val="24"/>
        </w:rPr>
        <w:t>日内提交相关工作成果。超过30日仍未提交的，甲方有权单方解除合同，甲方不承担任何责任。</w:t>
      </w:r>
    </w:p>
    <w:p w14:paraId="272F2848">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3、甲方未按照合同约定时间向乙方支付费用的，乙方有权暂停下阶段工作，且工期予以顺延。</w:t>
      </w:r>
    </w:p>
    <w:p w14:paraId="466A2FA4">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4、如因甲方提供的资料原因产生的相应后果由甲方负责。</w:t>
      </w:r>
    </w:p>
    <w:p w14:paraId="3D245824">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5、由于不可抗力或法律政策变更，致使合同无法履行时，双方协商解决。</w:t>
      </w:r>
    </w:p>
    <w:p w14:paraId="47B886BB">
      <w:pPr>
        <w:pStyle w:val="5"/>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sz w:val="24"/>
          <w:szCs w:val="24"/>
          <w:highlight w:val="none"/>
          <w:lang w:val="en-US" w:eastAsia="zh-CN"/>
        </w:rPr>
      </w:pPr>
      <w:bookmarkStart w:id="6" w:name="_Toc14847"/>
      <w:bookmarkStart w:id="7" w:name="_Toc96001579"/>
      <w:bookmarkStart w:id="8" w:name="_Toc24552"/>
      <w:r>
        <w:rPr>
          <w:rFonts w:hint="eastAsia" w:asciiTheme="minorEastAsia" w:hAnsiTheme="minorEastAsia" w:eastAsiaTheme="minorEastAsia" w:cstheme="minorEastAsia"/>
          <w:b/>
          <w:sz w:val="24"/>
          <w:szCs w:val="24"/>
          <w:highlight w:val="none"/>
          <w:lang w:val="en-US" w:eastAsia="zh-CN"/>
        </w:rPr>
        <w:t xml:space="preserve">第七条  </w:t>
      </w:r>
      <w:r>
        <w:rPr>
          <w:rFonts w:hint="eastAsia" w:asciiTheme="minorEastAsia" w:hAnsiTheme="minorEastAsia" w:eastAsiaTheme="minorEastAsia" w:cstheme="minorEastAsia"/>
          <w:b/>
          <w:sz w:val="24"/>
          <w:szCs w:val="24"/>
          <w:highlight w:val="none"/>
        </w:rPr>
        <w:t>保密</w:t>
      </w:r>
      <w:bookmarkEnd w:id="6"/>
      <w:bookmarkEnd w:id="7"/>
      <w:bookmarkEnd w:id="8"/>
      <w:r>
        <w:rPr>
          <w:rFonts w:hint="eastAsia" w:asciiTheme="minorEastAsia" w:hAnsiTheme="minorEastAsia" w:eastAsiaTheme="minorEastAsia" w:cstheme="minorEastAsia"/>
          <w:b/>
          <w:sz w:val="24"/>
          <w:szCs w:val="24"/>
          <w:highlight w:val="none"/>
          <w:lang w:val="en-US" w:eastAsia="zh-CN"/>
        </w:rPr>
        <w:t>条款</w:t>
      </w:r>
    </w:p>
    <w:p w14:paraId="31BB28C1">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bookmarkStart w:id="9" w:name="_Hlk95830801"/>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甲乙双方均应保证未经对方同意不得将对方的商业秘密（包括但不限于各类技术和商业信息、技术规范、设计图纸、文件及专有技术等技术文档和软件）和有关本合同的信息泄露给第三方，否则视为违约，守约方有权要求违约方按照含税总价的1%向守约方支付违约金，守约方有权追究违约方法律责任。若违约方违反上述保密条款，造成守约方损失，违约方应当赔偿守约方的全部损失，且守约方具有单方解除权。</w:t>
      </w:r>
      <w:bookmarkEnd w:id="9"/>
    </w:p>
    <w:p w14:paraId="4074886B">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保密期限：自本合同签订生效之日起至保密信息被甲方依法公开披露或成为公开信息之已止。不论以何种方式解除或终止本合同，本保密条款仍然有效，直至相关保密信息被甲方依法公开披露或成为公开信息。</w:t>
      </w:r>
    </w:p>
    <w:p w14:paraId="133E9BDF">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3、涉密人员范围：乙方，并且乙方保证其在合作中有必要知晓保密信息的雇员及关联方，都应受到与本合同同等严格保密义务的约束。</w:t>
      </w:r>
    </w:p>
    <w:p w14:paraId="028B2516">
      <w:pPr>
        <w:pStyle w:val="5"/>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sz w:val="24"/>
          <w:szCs w:val="24"/>
          <w:highlight w:val="none"/>
        </w:rPr>
      </w:pPr>
      <w:bookmarkStart w:id="10" w:name="_Toc7040"/>
      <w:bookmarkStart w:id="11" w:name="_Toc20322"/>
      <w:bookmarkStart w:id="12" w:name="_Toc96001573"/>
      <w:r>
        <w:rPr>
          <w:rFonts w:hint="eastAsia" w:asciiTheme="minorEastAsia" w:hAnsiTheme="minorEastAsia" w:eastAsiaTheme="minorEastAsia" w:cstheme="minorEastAsia"/>
          <w:b/>
          <w:sz w:val="24"/>
          <w:szCs w:val="24"/>
          <w:highlight w:val="none"/>
          <w:lang w:val="en-US" w:eastAsia="zh-CN"/>
        </w:rPr>
        <w:t xml:space="preserve">第八条  </w:t>
      </w:r>
      <w:r>
        <w:rPr>
          <w:rFonts w:hint="eastAsia" w:asciiTheme="minorEastAsia" w:hAnsiTheme="minorEastAsia" w:eastAsiaTheme="minorEastAsia" w:cstheme="minorEastAsia"/>
          <w:b/>
          <w:sz w:val="24"/>
          <w:szCs w:val="24"/>
          <w:highlight w:val="none"/>
        </w:rPr>
        <w:t>转让和分包</w:t>
      </w:r>
      <w:bookmarkEnd w:id="10"/>
      <w:bookmarkEnd w:id="11"/>
      <w:bookmarkEnd w:id="12"/>
    </w:p>
    <w:p w14:paraId="6279508E">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除甲方事先书面同意外，乙方不得将其合同权利、责任和义务部分转让或全部转让或转移给第三方。</w:t>
      </w:r>
    </w:p>
    <w:p w14:paraId="24E65E30">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lang w:val="en-US" w:eastAsia="zh-CN"/>
        </w:rPr>
        <w:t>2、</w:t>
      </w:r>
      <w:r>
        <w:rPr>
          <w:rFonts w:hint="eastAsia" w:asciiTheme="minorEastAsia" w:hAnsiTheme="minorEastAsia" w:eastAsiaTheme="minorEastAsia" w:cstheme="minorEastAsia"/>
          <w:color w:val="000000"/>
          <w:sz w:val="24"/>
          <w:szCs w:val="24"/>
          <w:highlight w:val="none"/>
        </w:rPr>
        <w:t>本项目的主体及关键性工作不得转让和分包给第三方。</w:t>
      </w:r>
    </w:p>
    <w:p w14:paraId="77F3F751">
      <w:pPr>
        <w:pStyle w:val="5"/>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sz w:val="24"/>
          <w:szCs w:val="24"/>
          <w:highlight w:val="none"/>
        </w:rPr>
      </w:pPr>
      <w:bookmarkStart w:id="13" w:name="_Toc25907"/>
      <w:bookmarkStart w:id="14" w:name="_Toc96001576"/>
      <w:bookmarkStart w:id="15" w:name="_Toc18913"/>
      <w:r>
        <w:rPr>
          <w:rFonts w:hint="eastAsia" w:asciiTheme="minorEastAsia" w:hAnsiTheme="minorEastAsia" w:eastAsiaTheme="minorEastAsia" w:cstheme="minorEastAsia"/>
          <w:b/>
          <w:sz w:val="24"/>
          <w:szCs w:val="24"/>
          <w:highlight w:val="none"/>
          <w:lang w:val="en-US" w:eastAsia="zh-CN"/>
        </w:rPr>
        <w:t xml:space="preserve">第九条  </w:t>
      </w:r>
      <w:r>
        <w:rPr>
          <w:rFonts w:hint="eastAsia" w:asciiTheme="minorEastAsia" w:hAnsiTheme="minorEastAsia" w:eastAsiaTheme="minorEastAsia" w:cstheme="minorEastAsia"/>
          <w:b/>
          <w:sz w:val="24"/>
          <w:szCs w:val="24"/>
          <w:highlight w:val="none"/>
        </w:rPr>
        <w:t>合同解除</w:t>
      </w:r>
      <w:bookmarkEnd w:id="13"/>
      <w:bookmarkEnd w:id="14"/>
      <w:bookmarkEnd w:id="15"/>
    </w:p>
    <w:p w14:paraId="5532A69A">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（一）</w:t>
      </w:r>
      <w:r>
        <w:rPr>
          <w:rFonts w:hint="eastAsia" w:asciiTheme="minorEastAsia" w:hAnsiTheme="minorEastAsia" w:eastAsiaTheme="minorEastAsia" w:cstheme="minorEastAsia"/>
          <w:sz w:val="24"/>
          <w:szCs w:val="24"/>
          <w:highlight w:val="none"/>
        </w:rPr>
        <w:t>合同解除的理由</w:t>
      </w:r>
    </w:p>
    <w:p w14:paraId="205AC8EA">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当事方面临破产或解散的处境。</w:t>
      </w:r>
    </w:p>
    <w:p w14:paraId="2362E24C">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因不可抗力致使合同无法履行。</w:t>
      </w:r>
    </w:p>
    <w:p w14:paraId="74A2DBED">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根据本合同其他条款中相关约定解除合同。</w:t>
      </w:r>
    </w:p>
    <w:p w14:paraId="1F52B330">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因情势变更导致合同无法继续履行，甲方享有合同的单方解除权。</w:t>
      </w:r>
    </w:p>
    <w:p w14:paraId="1ED87FA4">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（二）</w:t>
      </w:r>
      <w:r>
        <w:rPr>
          <w:rFonts w:hint="eastAsia" w:asciiTheme="minorEastAsia" w:hAnsiTheme="minorEastAsia" w:eastAsiaTheme="minorEastAsia" w:cstheme="minorEastAsia"/>
          <w:sz w:val="24"/>
          <w:szCs w:val="24"/>
          <w:highlight w:val="none"/>
        </w:rPr>
        <w:t>合同解除的程序</w:t>
      </w:r>
    </w:p>
    <w:p w14:paraId="3C29F9FC">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解除合同的，应以书面形式向对方发出解除合同的通知。对解除合同有争议的，按关于争议解决的约定处理。</w:t>
      </w:r>
    </w:p>
    <w:p w14:paraId="3E3696E1">
      <w:pPr>
        <w:pStyle w:val="5"/>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2、政府采购合同履行中，甲方需追加与合同标的相同服务的，在不改变合同其他条款的前提下，可以与乙方协商签订补充合同，但所有补充合同的采购金额不得超过原合同采购金额的百分之十。</w:t>
      </w:r>
    </w:p>
    <w:p w14:paraId="01F77846">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w:t>
      </w:r>
      <w:r>
        <w:rPr>
          <w:rFonts w:hint="eastAsia" w:asciiTheme="minorEastAsia" w:hAnsiTheme="minorEastAsia" w:eastAsiaTheme="minorEastAsia" w:cstheme="minorEastAsia"/>
          <w:b/>
          <w:sz w:val="24"/>
          <w:szCs w:val="24"/>
          <w:lang w:val="en-US" w:eastAsia="zh-CN"/>
        </w:rPr>
        <w:t>十</w:t>
      </w:r>
      <w:r>
        <w:rPr>
          <w:rFonts w:hint="eastAsia" w:asciiTheme="minorEastAsia" w:hAnsiTheme="minorEastAsia" w:eastAsiaTheme="minorEastAsia" w:cstheme="minorEastAsia"/>
          <w:b/>
          <w:sz w:val="24"/>
          <w:szCs w:val="24"/>
        </w:rPr>
        <w:t>条  不可抗力</w:t>
      </w:r>
    </w:p>
    <w:p w14:paraId="2673953B">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甲乙双方任何一方由于</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不可抗力</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原因不能履行合同时，应及时向对</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"http://set2.mail.qq.com/cgi-bin/mail_spam?action=check_link&amp;spam=0&amp;url=http%3A%2F%2Fwww%2Ebaidu%2Ecom%2Fs%3Fwd%3D%25E6%2596%25B9%25E9%2580%259A%26hl_tag%3Dtextlink%26tn%3DSE_hldp01350_v6v6zkg6"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方通</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报不能履行或不能完全履行的理由，以减轻可能给对方造成的损失，在取得有关机构证明后，允许延期履行、部分履行或不履行合同，并根据情况可部分或全部免予承担</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违约责任</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w:t>
      </w:r>
    </w:p>
    <w:p w14:paraId="58FD1547">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w:t>
      </w:r>
      <w:r>
        <w:rPr>
          <w:rFonts w:hint="eastAsia" w:asciiTheme="minorEastAsia" w:hAnsiTheme="minorEastAsia" w:eastAsiaTheme="minorEastAsia" w:cstheme="minorEastAsia"/>
          <w:b/>
          <w:sz w:val="24"/>
          <w:szCs w:val="24"/>
          <w:lang w:val="en-US" w:eastAsia="zh-CN"/>
        </w:rPr>
        <w:t>十一</w:t>
      </w:r>
      <w:r>
        <w:rPr>
          <w:rFonts w:hint="eastAsia" w:asciiTheme="minorEastAsia" w:hAnsiTheme="minorEastAsia" w:eastAsiaTheme="minorEastAsia" w:cstheme="minorEastAsia"/>
          <w:b/>
          <w:sz w:val="24"/>
          <w:szCs w:val="24"/>
        </w:rPr>
        <w:t>条  争议及解决方法</w:t>
      </w:r>
    </w:p>
    <w:p w14:paraId="0B86D331">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双方本着友好合作的态度,对合同履行过程中发生的</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"http://set2.mail.qq.com/cgi-bin/mail_spam?action=check_link&amp;spam=0&amp;url=http%3A%2F%2Fbaike%2Ebaidu%2Ecom%2Fview%2F322875%2Ehtm"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纠纷</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应及时协商解决,协商不成，向项目所在地人民法院诉讼解决。</w:t>
      </w:r>
    </w:p>
    <w:p w14:paraId="1B3E27D2">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w:t>
      </w:r>
      <w:r>
        <w:rPr>
          <w:rFonts w:hint="eastAsia" w:asciiTheme="minorEastAsia" w:hAnsiTheme="minorEastAsia" w:eastAsiaTheme="minorEastAsia" w:cstheme="minorEastAsia"/>
          <w:b/>
          <w:sz w:val="24"/>
          <w:szCs w:val="24"/>
          <w:lang w:val="en-US" w:eastAsia="zh-CN"/>
        </w:rPr>
        <w:t>十二</w:t>
      </w:r>
      <w:r>
        <w:rPr>
          <w:rFonts w:hint="eastAsia" w:asciiTheme="minorEastAsia" w:hAnsiTheme="minorEastAsia" w:eastAsiaTheme="minorEastAsia" w:cstheme="minorEastAsia"/>
          <w:b/>
          <w:sz w:val="24"/>
          <w:szCs w:val="24"/>
        </w:rPr>
        <w:t>条  其他</w:t>
      </w:r>
    </w:p>
    <w:p w14:paraId="0D94B2F4">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1、本合同一式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cstheme="minorEastAsia"/>
          <w:sz w:val="24"/>
          <w:szCs w:val="24"/>
          <w:u w:val="single"/>
          <w:lang w:val="en-US" w:eastAsia="zh-CN"/>
        </w:rPr>
        <w:t>陆</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份，甲乙双方各执</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cstheme="minorEastAsia"/>
          <w:sz w:val="24"/>
          <w:szCs w:val="24"/>
          <w:u w:val="single"/>
          <w:lang w:val="en-US" w:eastAsia="zh-CN"/>
        </w:rPr>
        <w:t>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份，具有同等法律效力；</w:t>
      </w:r>
    </w:p>
    <w:p w14:paraId="14C75C9F">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2、本合同未尽事宜，经双方协调一致，应增加补充条款，补充条款是合同的组成部分；</w:t>
      </w:r>
    </w:p>
    <w:p w14:paraId="48DA28D4">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3、本合同自签订之日起生效，有效期至合同内容履行完毕。</w:t>
      </w:r>
    </w:p>
    <w:p w14:paraId="1C0CD376">
      <w:pPr>
        <w:pStyle w:val="4"/>
        <w:rPr>
          <w:rFonts w:hint="eastAsia"/>
        </w:rPr>
      </w:pPr>
    </w:p>
    <w:p w14:paraId="544D7ACB">
      <w:pPr>
        <w:spacing w:line="480" w:lineRule="auto"/>
        <w:ind w:firstLine="480" w:firstLineChars="200"/>
        <w:rPr>
          <w:rFonts w:hint="eastAsia"/>
        </w:rPr>
      </w:pPr>
      <w:r>
        <w:rPr>
          <w:rFonts w:hint="eastAsia" w:asciiTheme="minorEastAsia" w:hAnsiTheme="minorEastAsia" w:eastAsiaTheme="minorEastAsia" w:cstheme="minorEastAsia"/>
          <w:sz w:val="24"/>
          <w:szCs w:val="24"/>
        </w:rPr>
        <w:t>（以下无正文，为签字页）</w:t>
      </w:r>
    </w:p>
    <w:p w14:paraId="4D2F00A9">
      <w:pPr>
        <w:rPr>
          <w:rFonts w:hint="eastAsia"/>
        </w:rPr>
      </w:pPr>
    </w:p>
    <w:p w14:paraId="4C777BBD">
      <w:pPr>
        <w:rPr>
          <w:rFonts w:hint="eastAsia"/>
        </w:rPr>
      </w:pPr>
    </w:p>
    <w:p w14:paraId="3E82BA5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1FA249C5">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采购人(甲方)：</w:t>
      </w:r>
    </w:p>
    <w:p w14:paraId="528D38CF">
      <w:pPr>
        <w:spacing w:line="360" w:lineRule="auto"/>
        <w:ind w:firstLine="480" w:firstLineChars="200"/>
        <w:rPr>
          <w:rFonts w:hint="eastAsia" w:asciiTheme="minorEastAsia" w:hAnsiTheme="minorEastAsia" w:eastAsiaTheme="minorEastAsia" w:cstheme="minorEastAsia"/>
          <w:sz w:val="24"/>
          <w:szCs w:val="24"/>
        </w:rPr>
      </w:pPr>
    </w:p>
    <w:p w14:paraId="1E1B0C32">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签字或盖章</w:t>
      </w:r>
      <w:r>
        <w:rPr>
          <w:rFonts w:hint="eastAsia" w:asciiTheme="minorEastAsia" w:hAnsiTheme="minorEastAsia" w:eastAsiaTheme="minorEastAsia" w:cstheme="minorEastAsia"/>
          <w:sz w:val="24"/>
          <w:szCs w:val="24"/>
          <w:lang w:eastAsia="zh-CN"/>
        </w:rPr>
        <w:t>）：</w:t>
      </w:r>
    </w:p>
    <w:p w14:paraId="19784F8E">
      <w:pPr>
        <w:spacing w:line="360" w:lineRule="auto"/>
        <w:ind w:firstLine="480" w:firstLineChars="200"/>
        <w:rPr>
          <w:rFonts w:hint="eastAsia" w:asciiTheme="minorEastAsia" w:hAnsiTheme="minorEastAsia" w:eastAsiaTheme="minorEastAsia" w:cstheme="minorEastAsia"/>
          <w:sz w:val="24"/>
          <w:szCs w:val="24"/>
          <w:lang w:eastAsia="zh-CN"/>
        </w:rPr>
      </w:pPr>
    </w:p>
    <w:p w14:paraId="49DD6B07">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签字或盖章</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p>
    <w:p w14:paraId="1FC5F4BA">
      <w:pPr>
        <w:spacing w:line="360" w:lineRule="auto"/>
        <w:ind w:firstLine="480" w:firstLineChars="200"/>
        <w:rPr>
          <w:rFonts w:hint="eastAsia" w:asciiTheme="minorEastAsia" w:hAnsiTheme="minorEastAsia" w:eastAsiaTheme="minorEastAsia" w:cstheme="minorEastAsia"/>
          <w:sz w:val="24"/>
          <w:szCs w:val="24"/>
        </w:rPr>
      </w:pPr>
    </w:p>
    <w:p w14:paraId="1592E23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    年    月    日</w:t>
      </w:r>
    </w:p>
    <w:p w14:paraId="01635F2C">
      <w:pPr>
        <w:rPr>
          <w:rFonts w:hint="eastAsia"/>
        </w:rPr>
      </w:pPr>
    </w:p>
    <w:p w14:paraId="3A0A1C9C">
      <w:pPr>
        <w:rPr>
          <w:rFonts w:hint="eastAsia" w:asciiTheme="minorEastAsia" w:hAnsiTheme="minorEastAsia" w:eastAsiaTheme="minorEastAsia" w:cstheme="minorEastAsia"/>
          <w:sz w:val="24"/>
          <w:szCs w:val="24"/>
        </w:rPr>
      </w:pPr>
    </w:p>
    <w:p w14:paraId="5677F6DC">
      <w:pPr>
        <w:pStyle w:val="2"/>
        <w:rPr>
          <w:rFonts w:hint="eastAsia" w:asciiTheme="minorEastAsia" w:hAnsiTheme="minorEastAsia" w:eastAsiaTheme="minorEastAsia" w:cstheme="minorEastAsia"/>
          <w:sz w:val="24"/>
          <w:szCs w:val="24"/>
        </w:rPr>
      </w:pPr>
    </w:p>
    <w:p w14:paraId="501058AB">
      <w:pPr>
        <w:rPr>
          <w:rFonts w:hint="eastAsia" w:asciiTheme="minorEastAsia" w:hAnsiTheme="minorEastAsia" w:eastAsiaTheme="minorEastAsia" w:cstheme="minorEastAsia"/>
          <w:sz w:val="24"/>
          <w:szCs w:val="24"/>
        </w:rPr>
      </w:pPr>
    </w:p>
    <w:p w14:paraId="4F465B2C">
      <w:pPr>
        <w:spacing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供应商（乙方）：</w:t>
      </w:r>
      <w:r>
        <w:rPr>
          <w:rFonts w:hint="eastAsia" w:asciiTheme="minorEastAsia" w:hAnsiTheme="minorEastAsia" w:eastAsiaTheme="minorEastAsia" w:cstheme="minorEastAsia"/>
          <w:bCs/>
          <w:sz w:val="24"/>
          <w:szCs w:val="24"/>
        </w:rPr>
        <w:t xml:space="preserve"> </w:t>
      </w:r>
    </w:p>
    <w:p w14:paraId="376F4D10">
      <w:pPr>
        <w:spacing w:line="360" w:lineRule="auto"/>
        <w:ind w:firstLine="480" w:firstLineChars="200"/>
        <w:rPr>
          <w:rFonts w:hint="eastAsia" w:asciiTheme="minorEastAsia" w:hAnsiTheme="minorEastAsia" w:eastAsiaTheme="minorEastAsia" w:cstheme="minorEastAsia"/>
          <w:sz w:val="24"/>
          <w:szCs w:val="24"/>
        </w:rPr>
      </w:pPr>
    </w:p>
    <w:p w14:paraId="0CEA4572">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签字或盖章</w:t>
      </w:r>
      <w:r>
        <w:rPr>
          <w:rFonts w:hint="eastAsia" w:asciiTheme="minorEastAsia" w:hAnsiTheme="minorEastAsia" w:eastAsiaTheme="minorEastAsia" w:cstheme="minorEastAsia"/>
          <w:sz w:val="24"/>
          <w:szCs w:val="24"/>
          <w:lang w:eastAsia="zh-CN"/>
        </w:rPr>
        <w:t>）：</w:t>
      </w:r>
    </w:p>
    <w:p w14:paraId="7F2BD9E7">
      <w:pPr>
        <w:spacing w:line="360" w:lineRule="auto"/>
        <w:ind w:firstLine="480" w:firstLineChars="200"/>
        <w:rPr>
          <w:rFonts w:hint="eastAsia" w:asciiTheme="minorEastAsia" w:hAnsiTheme="minorEastAsia" w:eastAsiaTheme="minorEastAsia" w:cstheme="minorEastAsia"/>
          <w:sz w:val="24"/>
          <w:szCs w:val="24"/>
          <w:lang w:eastAsia="zh-CN"/>
        </w:rPr>
      </w:pPr>
    </w:p>
    <w:p w14:paraId="00BFB89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签字或盖章</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p>
    <w:p w14:paraId="037F77A9">
      <w:pPr>
        <w:spacing w:line="360" w:lineRule="auto"/>
        <w:ind w:firstLine="480" w:firstLineChars="200"/>
        <w:rPr>
          <w:rFonts w:hint="eastAsia" w:asciiTheme="minorEastAsia" w:hAnsiTheme="minorEastAsia" w:eastAsiaTheme="minorEastAsia" w:cstheme="minorEastAsia"/>
          <w:sz w:val="24"/>
          <w:szCs w:val="24"/>
        </w:rPr>
      </w:pPr>
    </w:p>
    <w:p w14:paraId="1C2CA187">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    年    月    日</w:t>
      </w:r>
    </w:p>
    <w:p w14:paraId="2328D3AC">
      <w:pPr>
        <w:rPr>
          <w:color w:val="auto"/>
          <w:sz w:val="24"/>
          <w:szCs w:val="24"/>
          <w:highlight w:val="none"/>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AD12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58C0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B58C0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wYjBjN2IwYWJmYTMwZTlkNjIyZjM4ZjVhMWU5NjcifQ=="/>
  </w:docVars>
  <w:rsids>
    <w:rsidRoot w:val="65BD6D04"/>
    <w:rsid w:val="03025D54"/>
    <w:rsid w:val="13722C4F"/>
    <w:rsid w:val="18F41E97"/>
    <w:rsid w:val="1D974CAF"/>
    <w:rsid w:val="1FC55A6C"/>
    <w:rsid w:val="27592CF9"/>
    <w:rsid w:val="2A604751"/>
    <w:rsid w:val="53FB308C"/>
    <w:rsid w:val="54736353"/>
    <w:rsid w:val="5A22364E"/>
    <w:rsid w:val="640C5919"/>
    <w:rsid w:val="64CB3BEF"/>
    <w:rsid w:val="65BD6D04"/>
    <w:rsid w:val="6A95793E"/>
    <w:rsid w:val="70AA2209"/>
    <w:rsid w:val="726B3F88"/>
    <w:rsid w:val="7CE63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outlineLvl w:val="3"/>
    </w:pPr>
    <w:rPr>
      <w:color w:val="FF0000"/>
      <w:sz w:val="28"/>
      <w:u w:val="single"/>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style>
  <w:style w:type="paragraph" w:styleId="4">
    <w:name w:val="Body Text"/>
    <w:basedOn w:val="1"/>
    <w:next w:val="1"/>
    <w:qFormat/>
    <w:uiPriority w:val="0"/>
    <w:rPr>
      <w:rFonts w:ascii="Times New Roman" w:hAnsi="Times New Roman" w:eastAsia="宋体" w:cs="Times New Roman"/>
      <w:b/>
      <w:sz w:val="28"/>
    </w:rPr>
  </w:style>
  <w:style w:type="paragraph" w:styleId="5">
    <w:name w:val="Plain Text"/>
    <w:qFormat/>
    <w:uiPriority w:val="0"/>
    <w:pPr>
      <w:widowControl w:val="0"/>
      <w:jc w:val="both"/>
    </w:pPr>
    <w:rPr>
      <w:rFonts w:ascii="宋体" w:hAnsi="Courier New" w:eastAsia="宋体" w:cs="Times New Roman"/>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4"/>
    <w:next w:val="4"/>
    <w:unhideWhenUsed/>
    <w:qFormat/>
    <w:uiPriority w:val="99"/>
    <w:pPr>
      <w:ind w:firstLine="420" w:firstLineChars="100"/>
    </w:pPr>
  </w:style>
  <w:style w:type="paragraph" w:customStyle="1" w:styleId="11">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3288</Words>
  <Characters>3307</Characters>
  <Lines>0</Lines>
  <Paragraphs>0</Paragraphs>
  <TotalTime>0</TotalTime>
  <ScaleCrop>false</ScaleCrop>
  <LinksUpToDate>false</LinksUpToDate>
  <CharactersWithSpaces>3482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2024-09-18T08:24:00Z</dcterms:created>
  <dc:creator>向风而行</dc:creator>
  <cp:lastModifiedBy>孙笑梅</cp:lastModifiedBy>
  <cp:lastPrinted>2024-11-06T03:08:00Z</cp:lastPrinted>
  <dcterms:modified xsi:type="dcterms:W3CDTF">2025-07-01T14:40:33Z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6D84B56C1D8843A6BB5268A86FC821D9_13</vt:lpwstr>
  </property>
  <property fmtid="{D5CDD505-2E9C-101B-9397-08002B2CF9AE}" pid="4" name="KSOTemplateDocerSaveRecord">
    <vt:lpwstr>eyJoZGlkIjoiOGY5YmY1YzJiYTBjMGRhNzIwOGMxMGU3MTkyNjc2MTgiLCJ1c2VySWQiOiI1NTQxMjM5NjIifQ==</vt:lpwstr>
  </property>
</Properties>
</file>