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版本号：ZJZC20250509006-120250702001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2025年度市政项目初步设计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ZJZC20250509006-1</w:t>
      </w:r>
      <w:r>
        <w:br/>
      </w:r>
      <w:r>
        <w:br/>
      </w:r>
      <w:r>
        <w:br/>
      </w:r>
    </w:p>
    <w:p>
      <w:pPr>
        <w:pStyle w:val="null3"/>
        <w:jc w:val="center"/>
        <w:outlineLvl w:val="2"/>
      </w:pPr>
      <w:r>
        <w:rPr>
          <w:rFonts w:ascii="仿宋_GB2312" w:hAnsi="仿宋_GB2312" w:cs="仿宋_GB2312" w:eastAsia="仿宋_GB2312"/>
          <w:sz w:val="28"/>
          <w:b/>
        </w:rPr>
        <w:t>西安市雁塔区住房和城乡建设局</w:t>
      </w:r>
    </w:p>
    <w:p>
      <w:pPr>
        <w:pStyle w:val="null3"/>
        <w:jc w:val="center"/>
        <w:outlineLvl w:val="2"/>
      </w:pPr>
      <w:r>
        <w:rPr>
          <w:rFonts w:ascii="仿宋_GB2312" w:hAnsi="仿宋_GB2312" w:cs="仿宋_GB2312" w:eastAsia="仿宋_GB2312"/>
          <w:sz w:val="28"/>
          <w:b/>
        </w:rPr>
        <w:t>中建华阳建设项目管理有限责任公司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中建华阳建设项目管理有限责任公司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西安市雁塔区住房和城乡建设局</w:t>
      </w:r>
      <w:r>
        <w:rPr>
          <w:rFonts w:ascii="仿宋_GB2312" w:hAnsi="仿宋_GB2312" w:cs="仿宋_GB2312" w:eastAsia="仿宋_GB2312"/>
        </w:rPr>
        <w:t>委托，拟对</w:t>
      </w:r>
      <w:r>
        <w:rPr>
          <w:rFonts w:ascii="仿宋_GB2312" w:hAnsi="仿宋_GB2312" w:cs="仿宋_GB2312" w:eastAsia="仿宋_GB2312"/>
        </w:rPr>
        <w:t>2025年度市政项目初步设计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ZJZC20250509006-1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2025年度市政项目初步设计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2025年度市政项目初步设计，服务内容包含鱼化纬一路西段（经十三路—大寨南路）市政工程等7条市政道路工程的初步设计及初设概算编制，具体内容详见项目招标文件。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采购包1（2025年度市政项目初步设计）：属于专门面向中小企业采购。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1、营业执照等主体资格证明文件：提供有效的企业营业执照（副本）/事业单位法人证书/专业服务机构执业许可证/民办非企业单位登记证书/自然人身份证件。</w:t>
      </w:r>
    </w:p>
    <w:p>
      <w:pPr>
        <w:pStyle w:val="null3"/>
      </w:pPr>
      <w:r>
        <w:rPr>
          <w:rFonts w:ascii="仿宋_GB2312" w:hAnsi="仿宋_GB2312" w:cs="仿宋_GB2312" w:eastAsia="仿宋_GB2312"/>
        </w:rPr>
        <w:t>2、财务状况报告：提供2023年度或2024年度经审计的财务报告（成立时间至提交投标文件截止时间不足一年的可提供成立后任意时段的资产负债表），或其提交投标文件截止之日前三个月内基本开户银行出具的资信证明，或信用担保机构出具的投标担保函。</w:t>
      </w:r>
    </w:p>
    <w:p>
      <w:pPr>
        <w:pStyle w:val="null3"/>
      </w:pPr>
      <w:r>
        <w:rPr>
          <w:rFonts w:ascii="仿宋_GB2312" w:hAnsi="仿宋_GB2312" w:cs="仿宋_GB2312" w:eastAsia="仿宋_GB2312"/>
        </w:rPr>
        <w:t>3、书面声明：提供书面声明，包括声明具有履行合同所必需的设备和专业技术能力；未为本项目提供整体设计、规范编制或者项目管理、监理、检测等服务。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4、社保缴纳证明：提供递交投标文件截止之日前一年内任意一个月的社会保障资金缴存单据或社保机构开具的社会保险参保缴费情况证明。依法不需要缴纳社会保障资金的供应商应提供相关文件证明。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税收缴纳证明：提供递交投标文件截止之日前一年内任意一个月的依法缴纳税收的相关凭据（时间以税款所属日期为准、税种至少包含增值税或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8、资质：供应商应具有工程设计综合甲级资质，或市政行业工程设计乙级及以上资质，或市政行业（燃气工程、轨道交通工程除外）乙级及以上资质，或市政行业（道路工程）专业乙级及以上资质及市政行业（排水工程）专业乙级及以上资质，并在人员、设备、资金等方面具备相应的设计能力。</w:t>
      </w:r>
    </w:p>
    <w:p>
      <w:pPr>
        <w:pStyle w:val="null3"/>
      </w:pPr>
      <w:r>
        <w:rPr>
          <w:rFonts w:ascii="仿宋_GB2312" w:hAnsi="仿宋_GB2312" w:cs="仿宋_GB2312" w:eastAsia="仿宋_GB2312"/>
        </w:rPr>
        <w:t>9、项目负责人：供应商拟派项目负责人须具备市政工程相关专业高级工程师及以上职称。</w:t>
      </w:r>
    </w:p>
    <w:p>
      <w:pPr>
        <w:pStyle w:val="null3"/>
      </w:pPr>
      <w:r>
        <w:rPr>
          <w:rFonts w:ascii="仿宋_GB2312" w:hAnsi="仿宋_GB2312" w:cs="仿宋_GB2312" w:eastAsia="仿宋_GB2312"/>
        </w:rPr>
        <w:t>10、控股管理关系：提供直接控股和管理关系清单。若与其他供应商存在单位负责人为同一人或者存在直接控股、管理关系的，则响应无效。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11、法定代表人身份证明或法定代表人授权委托书：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12、本项目不接受联合体投标，不允许分包：供应商应提供《非联合体不分包投标声明》，视为独立投标，不分包。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西安市雁塔区住房和城乡建设局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西安市翠华路146号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西安市雁塔区住房和城乡建设局经办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029-83692920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中建华阳建设项目管理有限责任公司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陕西省西安市新城区陕西省西安市新城区长乐中路242号金花新都汇A座写字楼24层06室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董喜峰、裴慢慢、王超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18729530649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招标代理服务收费管理暂行办法》的通知（计价格[2002]1980号）文件、发改价格[2011]534号文件及国家发改委印发的《关于进一步放开建设项目专业服务价格的通知》[2015]299号文件的收取标准计取，不足6000.00元按6000.00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西安市雁塔区住房和城乡建设局</w:t>
      </w:r>
      <w:r>
        <w:rPr>
          <w:rFonts w:ascii="仿宋_GB2312" w:hAnsi="仿宋_GB2312" w:cs="仿宋_GB2312" w:eastAsia="仿宋_GB2312"/>
        </w:rPr>
        <w:t>和</w:t>
      </w:r>
      <w:r>
        <w:rPr>
          <w:rFonts w:ascii="仿宋_GB2312" w:hAnsi="仿宋_GB2312" w:cs="仿宋_GB2312" w:eastAsia="仿宋_GB2312"/>
        </w:rPr>
        <w:t>中建华阳建设项目管理有限责任公司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西安市雁塔区住房和城乡建设局</w:t>
      </w:r>
      <w:r>
        <w:rPr>
          <w:rFonts w:ascii="仿宋_GB2312" w:hAnsi="仿宋_GB2312" w:cs="仿宋_GB2312" w:eastAsia="仿宋_GB2312"/>
        </w:rPr>
        <w:t>负责解释。除上述招标文件内容，其他内容由</w:t>
      </w:r>
      <w:r>
        <w:rPr>
          <w:rFonts w:ascii="仿宋_GB2312" w:hAnsi="仿宋_GB2312" w:cs="仿宋_GB2312" w:eastAsia="仿宋_GB2312"/>
        </w:rPr>
        <w:t>中建华阳建设项目管理有限责任公司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西安市雁塔区住房和城乡建设局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中建华阳建设项目管理有限责任公司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符合国家、省、市及行业规定标准要求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中建华阳建设项目管理有限责任公司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中建华阳建设项目管理有限责任公司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中建华阳建设项目管理有限责任公司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联系人：王超</w:t>
      </w:r>
    </w:p>
    <w:p>
      <w:pPr>
        <w:pStyle w:val="null3"/>
      </w:pPr>
      <w:r>
        <w:rPr>
          <w:rFonts w:ascii="仿宋_GB2312" w:hAnsi="仿宋_GB2312" w:cs="仿宋_GB2312" w:eastAsia="仿宋_GB2312"/>
        </w:rPr>
        <w:t>联系电话：18729530649</w:t>
      </w:r>
    </w:p>
    <w:p>
      <w:pPr>
        <w:pStyle w:val="null3"/>
      </w:pPr>
      <w:r>
        <w:rPr>
          <w:rFonts w:ascii="仿宋_GB2312" w:hAnsi="仿宋_GB2312" w:cs="仿宋_GB2312" w:eastAsia="仿宋_GB2312"/>
        </w:rPr>
        <w:t>地址：西安市新城区陕西省西安市新城区长乐中路242号金花新都汇A座写字楼24层06室</w:t>
      </w:r>
    </w:p>
    <w:p>
      <w:pPr>
        <w:pStyle w:val="null3"/>
      </w:pPr>
      <w:r>
        <w:rPr>
          <w:rFonts w:ascii="仿宋_GB2312" w:hAnsi="仿宋_GB2312" w:cs="仿宋_GB2312" w:eastAsia="仿宋_GB2312"/>
        </w:rPr>
        <w:t>邮编：710032</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市政项目初步设计，服务内容包含鱼化纬一路西段（经十三路—大寨南路）市政工程、电子东街南延伸市政工程、岳旗寨开发用地东侧规划路（科技西路—鱼跃路）市政工程、沙泘沱安置小区规划路（包含沙泘沱安置小区南侧路市政工程和沙泘沱安置小区西侧路市政工程）四个项目市政道路的道路工程、雨水工程、污水工程、交通工程、照明工程、电力管沟工程、通信管道工程进行初步设计及初设概算编制，以及北山门东区北侧规划路（电子东街南延伸～电子正街）市政工程、丁白路西延伸景观提升工程等2个项目的可行性研究报告、初步设计及初设概算编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2,150,000.00</w:t>
      </w:r>
    </w:p>
    <w:p>
      <w:pPr>
        <w:pStyle w:val="null3"/>
      </w:pPr>
      <w:r>
        <w:rPr>
          <w:rFonts w:ascii="仿宋_GB2312" w:hAnsi="仿宋_GB2312" w:cs="仿宋_GB2312" w:eastAsia="仿宋_GB2312"/>
        </w:rPr>
        <w:t>采购包最高限价（元）: 2,150,000.00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2025年度市政项目初步设计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2,150,000.00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标的名称：2025年度市政项目初步设计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项目名称：202</w:t>
            </w:r>
            <w:r>
              <w:rPr>
                <w:rFonts w:ascii="仿宋_GB2312" w:hAnsi="仿宋_GB2312" w:cs="仿宋_GB2312" w:eastAsia="仿宋_GB2312"/>
                <w:sz w:val="24"/>
              </w:rPr>
              <w:t>5</w:t>
            </w:r>
            <w:r>
              <w:rPr>
                <w:rFonts w:ascii="仿宋_GB2312" w:hAnsi="仿宋_GB2312" w:cs="仿宋_GB2312" w:eastAsia="仿宋_GB2312"/>
                <w:sz w:val="24"/>
              </w:rPr>
              <w:t>年市政项目初步设计</w:t>
            </w:r>
          </w:p>
          <w:p>
            <w:pPr>
              <w:pStyle w:val="null3"/>
              <w:ind w:firstLine="480"/>
              <w:jc w:val="both"/>
            </w:pPr>
            <w:r>
              <w:rPr>
                <w:rFonts w:ascii="仿宋_GB2312" w:hAnsi="仿宋_GB2312" w:cs="仿宋_GB2312" w:eastAsia="仿宋_GB2312"/>
                <w:sz w:val="24"/>
              </w:rPr>
              <w:t>采购预算：</w:t>
            </w:r>
            <w:r>
              <w:rPr>
                <w:rFonts w:ascii="仿宋_GB2312" w:hAnsi="仿宋_GB2312" w:cs="仿宋_GB2312" w:eastAsia="仿宋_GB2312"/>
                <w:sz w:val="24"/>
              </w:rPr>
              <w:t>215</w:t>
            </w:r>
            <w:r>
              <w:rPr>
                <w:rFonts w:ascii="仿宋_GB2312" w:hAnsi="仿宋_GB2312" w:cs="仿宋_GB2312" w:eastAsia="仿宋_GB2312"/>
                <w:sz w:val="24"/>
              </w:rPr>
              <w:t>万元</w:t>
            </w:r>
          </w:p>
          <w:p>
            <w:pPr>
              <w:pStyle w:val="null3"/>
              <w:ind w:firstLine="480"/>
              <w:jc w:val="both"/>
            </w:pPr>
            <w:r>
              <w:rPr>
                <w:rFonts w:ascii="仿宋_GB2312" w:hAnsi="仿宋_GB2312" w:cs="仿宋_GB2312" w:eastAsia="仿宋_GB2312"/>
                <w:sz w:val="24"/>
              </w:rPr>
              <w:t>西安市雁塔区202</w:t>
            </w:r>
            <w:r>
              <w:rPr>
                <w:rFonts w:ascii="仿宋_GB2312" w:hAnsi="仿宋_GB2312" w:cs="仿宋_GB2312" w:eastAsia="仿宋_GB2312"/>
                <w:sz w:val="24"/>
              </w:rPr>
              <w:t>5</w:t>
            </w:r>
            <w:r>
              <w:rPr>
                <w:rFonts w:ascii="仿宋_GB2312" w:hAnsi="仿宋_GB2312" w:cs="仿宋_GB2312" w:eastAsia="仿宋_GB2312"/>
                <w:sz w:val="24"/>
              </w:rPr>
              <w:t>年市政道路新建项目初步设计。</w:t>
            </w:r>
          </w:p>
          <w:tbl>
            <w:tblPr>
              <w:tblBorders>
                <w:top w:val="none" w:color="000000" w:sz="4"/>
                <w:left w:val="none" w:color="000000" w:sz="4"/>
                <w:bottom w:val="none" w:color="000000" w:sz="4"/>
                <w:right w:val="none" w:color="000000" w:sz="4"/>
                <w:insideH w:val="none"/>
                <w:insideV w:val="none"/>
              </w:tblBorders>
            </w:tblPr>
            <w:tblGrid>
              <w:gridCol w:w="435"/>
              <w:gridCol w:w="4029"/>
            </w:tblGrid>
            <w:tr>
              <w:tc>
                <w:tcPr>
                  <w:tcW w:type="dxa" w:w="435"/>
                  <w:tcBorders>
                    <w:top w:val="single" w:color="000000" w:sz="8"/>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序号</w:t>
                  </w:r>
                </w:p>
              </w:tc>
              <w:tc>
                <w:tcPr>
                  <w:tcW w:type="dxa" w:w="4029"/>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市政道路（含管线）勘察项目名称</w:t>
                  </w:r>
                </w:p>
              </w:tc>
            </w:tr>
            <w:tr>
              <w:tc>
                <w:tcPr>
                  <w:tcW w:type="dxa" w:w="435"/>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402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沙泘沱安置小区南侧路市政工程</w:t>
                  </w:r>
                </w:p>
              </w:tc>
            </w:tr>
            <w:tr>
              <w:tc>
                <w:tcPr>
                  <w:tcW w:type="dxa" w:w="435"/>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w:t>
                  </w:r>
                </w:p>
              </w:tc>
              <w:tc>
                <w:tcPr>
                  <w:tcW w:type="dxa" w:w="402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沙泘沱安置小区西侧路市政工程</w:t>
                  </w:r>
                </w:p>
              </w:tc>
            </w:tr>
            <w:tr>
              <w:tc>
                <w:tcPr>
                  <w:tcW w:type="dxa" w:w="435"/>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402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电子东街南延伸市政工程</w:t>
                  </w:r>
                </w:p>
              </w:tc>
            </w:tr>
            <w:tr>
              <w:tc>
                <w:tcPr>
                  <w:tcW w:type="dxa" w:w="435"/>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w:t>
                  </w:r>
                </w:p>
              </w:tc>
              <w:tc>
                <w:tcPr>
                  <w:tcW w:type="dxa" w:w="402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北山门东区北侧规划路（电子东街南延伸～电子正街）市政工程</w:t>
                  </w:r>
                </w:p>
              </w:tc>
            </w:tr>
            <w:tr>
              <w:tc>
                <w:tcPr>
                  <w:tcW w:type="dxa" w:w="435"/>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w:t>
                  </w:r>
                </w:p>
              </w:tc>
              <w:tc>
                <w:tcPr>
                  <w:tcW w:type="dxa" w:w="402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鱼化纬一路西段（经十三路—大寨南路）市政工程</w:t>
                  </w:r>
                </w:p>
              </w:tc>
            </w:tr>
            <w:tr>
              <w:tc>
                <w:tcPr>
                  <w:tcW w:type="dxa" w:w="435"/>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w:t>
                  </w:r>
                </w:p>
              </w:tc>
              <w:tc>
                <w:tcPr>
                  <w:tcW w:type="dxa" w:w="402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岳旗寨开发用地东侧规划路（科技西路—鱼跃路）市政工程</w:t>
                  </w:r>
                </w:p>
              </w:tc>
            </w:tr>
            <w:tr>
              <w:tc>
                <w:tcPr>
                  <w:tcW w:type="dxa" w:w="435"/>
                  <w:tcBorders>
                    <w:top w:val="singl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w:t>
                  </w:r>
                </w:p>
              </w:tc>
              <w:tc>
                <w:tcPr>
                  <w:tcW w:type="dxa" w:w="4029"/>
                  <w:tcBorders>
                    <w:top w:val="singl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丁白路西延伸景观提升工程</w:t>
                  </w:r>
                </w:p>
              </w:tc>
            </w:tr>
          </w:tbl>
          <w:p>
            <w:pPr>
              <w:pStyle w:val="null3"/>
              <w:ind w:firstLine="482"/>
              <w:jc w:val="both"/>
            </w:pPr>
            <w:r>
              <w:rPr>
                <w:rFonts w:ascii="仿宋_GB2312" w:hAnsi="仿宋_GB2312" w:cs="仿宋_GB2312" w:eastAsia="仿宋_GB2312"/>
                <w:sz w:val="24"/>
                <w:b/>
              </w:rPr>
              <w:t>二、服务内容</w:t>
            </w:r>
          </w:p>
          <w:p>
            <w:pPr>
              <w:pStyle w:val="null3"/>
              <w:ind w:firstLine="480"/>
              <w:jc w:val="both"/>
            </w:pPr>
            <w:r>
              <w:rPr>
                <w:rFonts w:ascii="仿宋_GB2312" w:hAnsi="仿宋_GB2312" w:cs="仿宋_GB2312" w:eastAsia="仿宋_GB2312"/>
                <w:sz w:val="24"/>
              </w:rPr>
              <w:t>服务</w:t>
            </w:r>
            <w:r>
              <w:rPr>
                <w:rFonts w:ascii="仿宋_GB2312" w:hAnsi="仿宋_GB2312" w:cs="仿宋_GB2312" w:eastAsia="仿宋_GB2312"/>
                <w:sz w:val="24"/>
              </w:rPr>
              <w:t>内容包含</w:t>
            </w:r>
            <w:r>
              <w:rPr>
                <w:rFonts w:ascii="仿宋_GB2312" w:hAnsi="仿宋_GB2312" w:cs="仿宋_GB2312" w:eastAsia="仿宋_GB2312"/>
                <w:sz w:val="24"/>
              </w:rPr>
              <w:t>鱼化纬一路西段（经十三路—大寨南路）市政工程、电子东街南延伸市政工程、岳旗寨开发用地东侧规划路（科技西路—鱼跃路）市政工程、沙泘沱安置小区规划路（包含沙泘沱安置小区南侧路市政工程和沙泘沱安置小区西侧路市政工程）四个项目市政道路的道路工程、雨水工程、污水工程、交通工程、照明工程、电力管沟工程、通信管道工程</w:t>
            </w:r>
            <w:r>
              <w:rPr>
                <w:rFonts w:ascii="仿宋_GB2312" w:hAnsi="仿宋_GB2312" w:cs="仿宋_GB2312" w:eastAsia="仿宋_GB2312"/>
                <w:sz w:val="24"/>
              </w:rPr>
              <w:t>进行</w:t>
            </w:r>
            <w:r>
              <w:rPr>
                <w:rFonts w:ascii="仿宋_GB2312" w:hAnsi="仿宋_GB2312" w:cs="仿宋_GB2312" w:eastAsia="仿宋_GB2312"/>
                <w:sz w:val="24"/>
              </w:rPr>
              <w:t>初步设计及初设概算</w:t>
            </w:r>
            <w:r>
              <w:rPr>
                <w:rFonts w:ascii="仿宋_GB2312" w:hAnsi="仿宋_GB2312" w:cs="仿宋_GB2312" w:eastAsia="仿宋_GB2312"/>
                <w:sz w:val="24"/>
              </w:rPr>
              <w:t>编制</w:t>
            </w:r>
            <w:r>
              <w:rPr>
                <w:rFonts w:ascii="仿宋_GB2312" w:hAnsi="仿宋_GB2312" w:cs="仿宋_GB2312" w:eastAsia="仿宋_GB2312"/>
                <w:sz w:val="24"/>
              </w:rPr>
              <w:t>，以及北山门东区北侧规划路（电子东街南延伸～电子正街）市政工程、丁白路西延伸景观提升工程等2个项目的可行性研究报告、初步设计</w:t>
            </w:r>
            <w:r>
              <w:rPr>
                <w:rFonts w:ascii="仿宋_GB2312" w:hAnsi="仿宋_GB2312" w:cs="仿宋_GB2312" w:eastAsia="仿宋_GB2312"/>
                <w:sz w:val="24"/>
              </w:rPr>
              <w:t>及</w:t>
            </w:r>
            <w:r>
              <w:rPr>
                <w:rFonts w:ascii="仿宋_GB2312" w:hAnsi="仿宋_GB2312" w:cs="仿宋_GB2312" w:eastAsia="仿宋_GB2312"/>
                <w:sz w:val="24"/>
              </w:rPr>
              <w:t>初设</w:t>
            </w:r>
            <w:r>
              <w:rPr>
                <w:rFonts w:ascii="仿宋_GB2312" w:hAnsi="仿宋_GB2312" w:cs="仿宋_GB2312" w:eastAsia="仿宋_GB2312"/>
                <w:sz w:val="24"/>
              </w:rPr>
              <w:t>概算编制</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三、设计依据</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国家有关法律、法规、标准、规范及省、市有关规定。</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甲方提供设计依据。</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政府各主管部门规划审批文件。</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《市政公用工程设计文件编制深度规定》。</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甲方的设计标准、审核意见及其他设计要求。</w:t>
            </w:r>
          </w:p>
          <w:p>
            <w:pPr>
              <w:pStyle w:val="null3"/>
              <w:ind w:firstLine="482"/>
              <w:jc w:val="both"/>
            </w:pPr>
            <w:r>
              <w:rPr>
                <w:rFonts w:ascii="仿宋_GB2312" w:hAnsi="仿宋_GB2312" w:cs="仿宋_GB2312" w:eastAsia="仿宋_GB2312"/>
                <w:sz w:val="24"/>
                <w:b/>
              </w:rPr>
              <w:t>四、技术要求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对本项目区域控制性详细规划相关内容进行研究并提出具体实施方案。</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道路平面、断面、高程等内容初步设计。</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给排水、电力管沟、通信管道等管线配套构筑物设计。</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交通（包括交通安全设施及交通管理设施）管线以及配套设计。</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照明工程供配电、灯具布置等设计。</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政府投资项目可行性研究报告编写通用大纲（2023年版）》</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《建设项目经济评价方法与参数》（第三版）、《建设项目经济评价参数研究》</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对本项目的有关规定、要求、会议纪要等。</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其它招标人要求的内容。</w:t>
            </w:r>
          </w:p>
          <w:p>
            <w:pPr>
              <w:pStyle w:val="null3"/>
              <w:ind w:firstLine="482"/>
              <w:jc w:val="both"/>
            </w:pPr>
            <w:r>
              <w:rPr>
                <w:rFonts w:ascii="仿宋_GB2312" w:hAnsi="仿宋_GB2312" w:cs="仿宋_GB2312" w:eastAsia="仿宋_GB2312"/>
                <w:sz w:val="24"/>
                <w:b/>
              </w:rPr>
              <w:t>五、服务要求</w:t>
            </w:r>
          </w:p>
          <w:p>
            <w:pPr>
              <w:pStyle w:val="null3"/>
              <w:ind w:firstLine="480"/>
              <w:jc w:val="both"/>
            </w:pPr>
            <w:r>
              <w:rPr>
                <w:rFonts w:ascii="仿宋_GB2312" w:hAnsi="仿宋_GB2312" w:cs="仿宋_GB2312" w:eastAsia="仿宋_GB2312"/>
                <w:sz w:val="24"/>
              </w:rPr>
              <w:t>供应商向采购人提供成果文件8份</w:t>
            </w:r>
            <w:r>
              <w:rPr>
                <w:rFonts w:ascii="仿宋_GB2312" w:hAnsi="仿宋_GB2312" w:cs="仿宋_GB2312" w:eastAsia="仿宋_GB2312"/>
                <w:sz w:val="24"/>
              </w:rPr>
              <w:t>及相应的PDF电子文档</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六</w:t>
            </w:r>
            <w:r>
              <w:rPr>
                <w:rFonts w:ascii="仿宋_GB2312" w:hAnsi="仿宋_GB2312" w:cs="仿宋_GB2312" w:eastAsia="仿宋_GB2312"/>
                <w:sz w:val="24"/>
                <w:b/>
              </w:rPr>
              <w:t>、付款方式、依据</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付款方式：</w:t>
            </w:r>
            <w:r>
              <w:rPr>
                <w:rFonts w:ascii="仿宋_GB2312" w:hAnsi="仿宋_GB2312" w:cs="仿宋_GB2312" w:eastAsia="仿宋_GB2312"/>
                <w:sz w:val="24"/>
              </w:rPr>
              <w:t>设计文件完成时</w:t>
            </w:r>
            <w:r>
              <w:rPr>
                <w:rFonts w:ascii="仿宋_GB2312" w:hAnsi="仿宋_GB2312" w:cs="仿宋_GB2312" w:eastAsia="仿宋_GB2312"/>
                <w:sz w:val="24"/>
              </w:rPr>
              <w:t>且提供费用发票，</w:t>
            </w:r>
            <w:r>
              <w:rPr>
                <w:rFonts w:ascii="仿宋_GB2312" w:hAnsi="仿宋_GB2312" w:cs="仿宋_GB2312" w:eastAsia="仿宋_GB2312"/>
                <w:sz w:val="24"/>
              </w:rPr>
              <w:t>支付总设计费的40%（设计人收到设计费后给发包人提供设计文件，并配合完成初步设计评审及审批工作）审批完成后</w:t>
            </w:r>
            <w:r>
              <w:rPr>
                <w:rFonts w:ascii="仿宋_GB2312" w:hAnsi="仿宋_GB2312" w:cs="仿宋_GB2312" w:eastAsia="仿宋_GB2312"/>
                <w:sz w:val="24"/>
              </w:rPr>
              <w:t>且提供费用发票，</w:t>
            </w:r>
            <w:r>
              <w:rPr>
                <w:rFonts w:ascii="仿宋_GB2312" w:hAnsi="仿宋_GB2312" w:cs="仿宋_GB2312" w:eastAsia="仿宋_GB2312"/>
                <w:sz w:val="24"/>
              </w:rPr>
              <w:t>支付剩余60%款项</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付款依据：</w:t>
            </w:r>
            <w:r>
              <w:rPr>
                <w:rFonts w:ascii="仿宋_GB2312" w:hAnsi="仿宋_GB2312" w:cs="仿宋_GB2312" w:eastAsia="仿宋_GB2312"/>
                <w:sz w:val="24"/>
              </w:rPr>
              <w:t>供应商</w:t>
            </w:r>
            <w:r>
              <w:rPr>
                <w:rFonts w:ascii="仿宋_GB2312" w:hAnsi="仿宋_GB2312" w:cs="仿宋_GB2312" w:eastAsia="仿宋_GB2312"/>
                <w:sz w:val="24"/>
              </w:rPr>
              <w:t>提供等额发票，</w:t>
            </w:r>
            <w:r>
              <w:rPr>
                <w:rFonts w:ascii="仿宋_GB2312" w:hAnsi="仿宋_GB2312" w:cs="仿宋_GB2312" w:eastAsia="仿宋_GB2312"/>
                <w:sz w:val="24"/>
              </w:rPr>
              <w:t>采购人</w:t>
            </w:r>
            <w:r>
              <w:rPr>
                <w:rFonts w:ascii="仿宋_GB2312" w:hAnsi="仿宋_GB2312" w:cs="仿宋_GB2312" w:eastAsia="仿宋_GB2312"/>
                <w:sz w:val="24"/>
              </w:rPr>
              <w:t>出具的验收报告</w:t>
            </w:r>
            <w:r>
              <w:rPr>
                <w:rFonts w:ascii="仿宋_GB2312" w:hAnsi="仿宋_GB2312" w:cs="仿宋_GB2312" w:eastAsia="仿宋_GB2312"/>
                <w:sz w:val="24"/>
              </w:rPr>
              <w:t>。</w:t>
            </w:r>
            <w:r>
              <w:rPr>
                <w:rFonts w:ascii="仿宋_GB2312" w:hAnsi="仿宋_GB2312" w:cs="仿宋_GB2312" w:eastAsia="仿宋_GB2312"/>
                <w:sz w:val="24"/>
              </w:rPr>
              <w:t xml:space="preserve"> </w:t>
            </w:r>
          </w:p>
          <w:p>
            <w:pPr>
              <w:pStyle w:val="null3"/>
              <w:ind w:firstLine="482"/>
              <w:jc w:val="both"/>
            </w:pPr>
            <w:r>
              <w:rPr>
                <w:rFonts w:ascii="仿宋_GB2312" w:hAnsi="仿宋_GB2312" w:cs="仿宋_GB2312" w:eastAsia="仿宋_GB2312"/>
                <w:sz w:val="24"/>
                <w:b/>
              </w:rPr>
              <w:t>七</w:t>
            </w:r>
            <w:r>
              <w:rPr>
                <w:rFonts w:ascii="仿宋_GB2312" w:hAnsi="仿宋_GB2312" w:cs="仿宋_GB2312" w:eastAsia="仿宋_GB2312"/>
                <w:sz w:val="24"/>
                <w:b/>
              </w:rPr>
              <w:t>、商务要求：</w:t>
            </w:r>
          </w:p>
          <w:p>
            <w:pPr>
              <w:pStyle w:val="null3"/>
              <w:ind w:firstLine="482"/>
              <w:jc w:val="both"/>
            </w:pPr>
            <w:r>
              <w:rPr>
                <w:rFonts w:ascii="仿宋_GB2312" w:hAnsi="仿宋_GB2312" w:cs="仿宋_GB2312" w:eastAsia="仿宋_GB2312"/>
                <w:sz w:val="24"/>
                <w:b/>
              </w:rPr>
              <w:t>（一）价格：</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合同单价包括：服务费、售后服务费、利润、税金、保险、相关伴随费用等的一切费用。</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合同有效期内，合同单价一次包死，不受国家政策性调价或原材料价格变化及外汇汇率变化的影响，并作为最终结算的唯一依据。</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服务承诺：供应商应遵照国家规范规定的技术服务内容及要求作出明确承诺。</w:t>
            </w:r>
          </w:p>
          <w:p>
            <w:pPr>
              <w:pStyle w:val="null3"/>
              <w:ind w:firstLine="482"/>
              <w:jc w:val="both"/>
            </w:pPr>
            <w:r>
              <w:rPr>
                <w:rFonts w:ascii="仿宋_GB2312" w:hAnsi="仿宋_GB2312" w:cs="仿宋_GB2312" w:eastAsia="仿宋_GB2312"/>
                <w:sz w:val="24"/>
                <w:b/>
              </w:rPr>
              <w:t>（二）质量安排排查保密要求</w:t>
            </w:r>
          </w:p>
          <w:p>
            <w:pPr>
              <w:pStyle w:val="null3"/>
              <w:ind w:firstLine="480"/>
              <w:jc w:val="both"/>
            </w:pPr>
            <w:r>
              <w:rPr>
                <w:rFonts w:ascii="仿宋_GB2312" w:hAnsi="仿宋_GB2312" w:cs="仿宋_GB2312" w:eastAsia="仿宋_GB2312"/>
                <w:sz w:val="24"/>
              </w:rPr>
              <w:t>甲、乙双方应永久恪守因签署或履行本合同而获知的对方秘密信息及其它秘密资料，特别是国家安全秘密。任何一方如将获知的对方秘密信息泄露给第三方，应赔偿因泄密而给对方造成的一切损失并承担相应的法律责任(包括刑事责任)。</w:t>
            </w:r>
          </w:p>
          <w:p>
            <w:pPr>
              <w:pStyle w:val="null3"/>
              <w:ind w:firstLine="482"/>
              <w:jc w:val="both"/>
            </w:pPr>
            <w:r>
              <w:rPr>
                <w:rFonts w:ascii="仿宋_GB2312" w:hAnsi="仿宋_GB2312" w:cs="仿宋_GB2312" w:eastAsia="仿宋_GB2312"/>
                <w:sz w:val="24"/>
                <w:b/>
              </w:rPr>
              <w:t>（三）质量保证</w:t>
            </w:r>
          </w:p>
          <w:p>
            <w:pPr>
              <w:pStyle w:val="null3"/>
              <w:ind w:firstLine="480"/>
              <w:jc w:val="both"/>
            </w:pPr>
            <w:r>
              <w:rPr>
                <w:rFonts w:ascii="仿宋_GB2312" w:hAnsi="仿宋_GB2312" w:cs="仿宋_GB2312" w:eastAsia="仿宋_GB2312"/>
                <w:sz w:val="24"/>
              </w:rPr>
              <w:t>供应商保证服务质量完全符合合同规定的质量标准及国家有关规范和标准</w:t>
            </w:r>
            <w:r>
              <w:rPr>
                <w:rFonts w:ascii="仿宋_GB2312" w:hAnsi="仿宋_GB2312" w:cs="仿宋_GB2312" w:eastAsia="仿宋_GB2312"/>
                <w:sz w:val="24"/>
              </w:rPr>
              <w:t>，</w:t>
            </w:r>
            <w:r>
              <w:rPr>
                <w:rFonts w:ascii="仿宋_GB2312" w:hAnsi="仿宋_GB2312" w:cs="仿宋_GB2312" w:eastAsia="仿宋_GB2312"/>
                <w:sz w:val="24"/>
                <w:color w:val="000000"/>
              </w:rPr>
              <w:t>并配合取得</w:t>
            </w:r>
            <w:r>
              <w:rPr>
                <w:rFonts w:ascii="仿宋_GB2312" w:hAnsi="仿宋_GB2312" w:cs="仿宋_GB2312" w:eastAsia="仿宋_GB2312"/>
                <w:sz w:val="24"/>
                <w:color w:val="000000"/>
              </w:rPr>
              <w:t>项目</w:t>
            </w:r>
            <w:r>
              <w:rPr>
                <w:rFonts w:ascii="仿宋_GB2312" w:hAnsi="仿宋_GB2312" w:cs="仿宋_GB2312" w:eastAsia="仿宋_GB2312"/>
                <w:sz w:val="24"/>
                <w:color w:val="000000"/>
              </w:rPr>
              <w:t>立项批复</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b/>
              </w:rPr>
              <w:t>四）验收</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中标供应商对最终的服务质量负完全责任。</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验收依据</w:t>
            </w:r>
          </w:p>
          <w:p>
            <w:pPr>
              <w:pStyle w:val="null3"/>
              <w:ind w:firstLine="480"/>
              <w:jc w:val="both"/>
            </w:pPr>
            <w:r>
              <w:rPr>
                <w:rFonts w:ascii="仿宋_GB2312" w:hAnsi="仿宋_GB2312" w:cs="仿宋_GB2312" w:eastAsia="仿宋_GB2312"/>
                <w:sz w:val="24"/>
              </w:rPr>
              <w:t>（1）合同；</w:t>
            </w:r>
          </w:p>
          <w:p>
            <w:pPr>
              <w:pStyle w:val="null3"/>
              <w:ind w:firstLine="480"/>
              <w:jc w:val="both"/>
            </w:pPr>
            <w:r>
              <w:rPr>
                <w:rFonts w:ascii="仿宋_GB2312" w:hAnsi="仿宋_GB2312" w:cs="仿宋_GB2312" w:eastAsia="仿宋_GB2312"/>
                <w:sz w:val="24"/>
              </w:rPr>
              <w:t>（2）国家有关的验收标准及规范；</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招标</w:t>
            </w:r>
            <w:r>
              <w:rPr>
                <w:rFonts w:ascii="仿宋_GB2312" w:hAnsi="仿宋_GB2312" w:cs="仿宋_GB2312" w:eastAsia="仿宋_GB2312"/>
                <w:sz w:val="24"/>
              </w:rPr>
              <w:t>文件、</w:t>
            </w:r>
            <w:r>
              <w:rPr>
                <w:rFonts w:ascii="仿宋_GB2312" w:hAnsi="仿宋_GB2312" w:cs="仿宋_GB2312" w:eastAsia="仿宋_GB2312"/>
                <w:sz w:val="24"/>
              </w:rPr>
              <w:t>投标</w:t>
            </w:r>
            <w:r>
              <w:rPr>
                <w:rFonts w:ascii="仿宋_GB2312" w:hAnsi="仿宋_GB2312" w:cs="仿宋_GB2312" w:eastAsia="仿宋_GB2312"/>
                <w:sz w:val="24"/>
              </w:rPr>
              <w:t>文件</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（五）合同实施</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成交供应商应在合同签订后尽快安排人员与采购单位就服务工作进行安排、部署。</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若因成交供应商原因未能在服务期内完成合同规定的义务，由此对采购人造成的延误和一切损失，由成交单位人承担和赔偿。</w:t>
            </w:r>
          </w:p>
          <w:p>
            <w:pPr>
              <w:pStyle w:val="null3"/>
              <w:ind w:firstLine="482"/>
              <w:jc w:val="both"/>
            </w:pPr>
            <w:r>
              <w:rPr>
                <w:rFonts w:ascii="仿宋_GB2312" w:hAnsi="仿宋_GB2312" w:cs="仿宋_GB2312" w:eastAsia="仿宋_GB2312"/>
                <w:sz w:val="24"/>
                <w:b/>
              </w:rPr>
              <w:t>（六）服务期</w:t>
            </w:r>
          </w:p>
          <w:p>
            <w:pPr>
              <w:pStyle w:val="null3"/>
              <w:ind w:firstLine="480"/>
              <w:jc w:val="both"/>
            </w:pPr>
            <w:r>
              <w:rPr>
                <w:rFonts w:ascii="仿宋_GB2312" w:hAnsi="仿宋_GB2312" w:cs="仿宋_GB2312" w:eastAsia="仿宋_GB2312"/>
                <w:sz w:val="24"/>
              </w:rPr>
              <w:t>自接到</w:t>
            </w:r>
            <w:r>
              <w:rPr>
                <w:rFonts w:ascii="仿宋_GB2312" w:hAnsi="仿宋_GB2312" w:cs="仿宋_GB2312" w:eastAsia="仿宋_GB2312"/>
                <w:sz w:val="24"/>
              </w:rPr>
              <w:t>采购人</w:t>
            </w:r>
            <w:r>
              <w:rPr>
                <w:rFonts w:ascii="仿宋_GB2312" w:hAnsi="仿宋_GB2312" w:cs="仿宋_GB2312" w:eastAsia="仿宋_GB2312"/>
                <w:sz w:val="24"/>
              </w:rPr>
              <w:t>委托之日起30日内提交完整的</w:t>
            </w:r>
            <w:r>
              <w:rPr>
                <w:rFonts w:ascii="仿宋_GB2312" w:hAnsi="仿宋_GB2312" w:cs="仿宋_GB2312" w:eastAsia="仿宋_GB2312"/>
                <w:sz w:val="24"/>
              </w:rPr>
              <w:t>成果文件</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注：商务要求为实质性要求，不得负偏离。</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供应商须提供针对本项目的详细人员配备情况，人员搭配合理、职能健全，岗位分工明确、职责清晰，包括人员配备情况及专业水平、人员安排、从业经历、参与工作经验等方面，均应满足本项目采购需求。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提供具有履行本合同所必需的设备。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自接到采购人委托之日起30日内提交完整的成果文件。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1.中标供应商对最终的服务质量负完全责任。 2.验收依据 （1）合同； （2）国家有关的验收标准及规范； （3）招标文件、投标文件。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设计文件完成时（设计人收到设计费后给发包人提供设计文件，并配合完成初步设计评审及审批工作）且提供发票后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成果文件审批完成后且提供发票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各供应商应根据“陕西省财政厅陕财办采函〔2023〕14号文”《陕西省财政厅关于省级预算单位全面推行政府采购项目电子化交易的通知》“陕西省财政厅陕财办采〔2022〕9号文”《政府采购项目电子化交易规则》等文件的要求，做好人员配备、设施设备、系统操作的相应准备，熟悉并正确实施相关操作流程，承担由于操作或其他因素造成的不利后果。（二）为顺利推进政府采购电子化交易平台应用工作，供应商需要在线提交所有通过电子化交易平台实施的政府采购项目的投标文件，同时，中标供应商领取中标通知书时，应线下提交纸质版投标文件，正本壹份、副本贰套至代理机构。 线上电子投标文件与纸质投标文件一致;若正本和副本不符，以正本为准。（三）落实政府采购政策需满足的资格要求：依据《中华人民共和国政府采购法》和《中华人民共和国政府采购法实施条例》的有关规定，落实政府采购“优先购买节能环保产品、扶持小微企业、监狱企业、福利企业”等相关政策。1、《政府采购促进中小企业发展管理办法》（财库〔2020〕46号）、《陕西省财政厅关于进一步加大政府采购支持中小企业力度的通知》（陕财办采〔2022〕5号）、《陕西省财政厅关于落实政府采购支持中小企业政策有关事项的通知》（陕财办采〔2022〕10号）、《财政部关于进一步加大政府采购支持中小企业力度》的通知（财库〔2022〕19号）；2、《财政部司法部关于政府采购支持监狱企业发展有关问题的通知》（财库〔2014〕68号）；3、《国务院办公厅关于建立政府强制采购节能产品制度的通知》（国办发〔2007〕51号）；4、《三部门联合发布关于促进残疾人就业政府采购政策的通知》（财库〔2017〕141号）；5、《财政部发展改革委生态环境部市场监管总局关于调整优化节能产品、环境标志产品政府采购执行机制的通知》（财库〔2019〕9号）；6、关于印发环境标志产品政府采购品目清单的通知（财库〔2019〕18号）；7、《关于印发节能产品政府采购品目清单的通知》（财库〔2019〕19号）；8、《财政部、农业农村部、国家乡村振兴局关于运用政府采购政策支持乡村产业振兴的通知》（财库〔2021〕19号）；9、《陕西省中小企业政府采购信用融资办法》（陕财办采〔2018〕23号）、陕西省财政厅、中国人民银行西安分行关于深入推进政府采购信用融资业务的通知（陕财办采〔2023〕5号）；10、《关于政府采购支持绿色建材促进建筑品质提升试点工作的通知》（财库〔2020〕31号）；11、融资平台：根据《陕西省财政厅关于加快推进我省中小企业政府采购信用融资工作的通知》陕财办采〔2020〕15号文件精神，有融资需求的供应商可根据自身情况，在陕西省政府采购信用融资平台（含各市分平台）自主选择金融机构及其融资产品，凭政府采购中标（成交）通知书或政府采购合同向金融机构提出融资申请；12、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供应商需在项目电子化交易系统中按要求填写《投标函》完成承诺并进行电子签章，并提供以下资料： 1、主体证明文件：提供有效的企业营业执照（副本）/事业单位法人证书/专业服务机构执业许可证/民办非企业单位登记证书/自然人身份证件。 2、提供2023年度或2024年度经审计的财务报告（成立时间至提交投标文件截止时间不足一年的可提供成立后任意时段的资产负债表），或其提交投标文件截止之日前三个月内基本开户银行出具的资信证明，或信用担保机构出具的投标担保函(以上三种形式的资料提供任何一种即可）。 3、提供可满足履行合同所需设备和专业技术能力的证明材料或承诺 4、提供递交投标文件截止之日前一年内任意一个月的社会保障资金缴存单据或社保机构开具的社会保险参保缴费情况证明。依法不需要缴纳社会保障资金的供应商应提供相关文件证明。 5、提供递交投标文件截止之日前一年内任意一个月的依法缴纳税收的相关凭据（时间以税款所属日期为准、税种至少包含增值税或企业所得税），凭据应有税务机关或代收机关的公章或业务专用章。依法免税或无须缴纳税收的供应商，应提供相应证明文件。 6、提供有效的参加政府采购活动前3年内在经营活动中没有重大违法记录的书面声明。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供应商资格要求.docx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提供有效的企业营业执照（副本）/事业单位法人证书/专业服务机构执业许可证/民办非企业单位登记证书/自然人身份证件。</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年度或2024年度经审计的财务报告（成立时间至提交投标文件截止时间不足一年的可提供成立后任意时段的资产负债表），或其提交投标文件截止之日前三个月内基本开户银行出具的资信证明，或信用担保机构出具的投标担保函。</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日期为准、税种至少包含增值税或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应具有工程设计综合甲级资质，或市政行业工程设计乙级及以上资质，或市政行业（燃气工程、轨道交通工程除外）乙级及以上资质，或市政行业（道路工程）专业乙级及以上资质及市政行业（排水工程）专业乙级及以上资质，并在人员、设备、资金等方面具备相应的设计能力。</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供应商拟派项目负责人须具备市政工程相关专业高级工程师及以上职称。</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供应商资格要求.docx 供应商认为应提交的相关资格证明材料.docx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投标文件签署、盖章符合招标文件要求</w:t>
            </w:r>
          </w:p>
        </w:tc>
        <w:tc>
          <w:tcPr>
            <w:tcW w:type="dxa" w:w="1661"/>
          </w:tcPr>
          <w:p>
            <w:pPr>
              <w:pStyle w:val="null3"/>
            </w:pPr>
            <w:r>
              <w:rPr>
                <w:rFonts w:ascii="仿宋_GB2312" w:hAnsi="仿宋_GB2312" w:cs="仿宋_GB2312" w:eastAsia="仿宋_GB2312"/>
              </w:rPr>
              <w:t>拟投入本项目的人员配置情况表.docx 开标一览表 中小企业声明函 供应商认为应提交的相关资格证明材料.docx 分项报价表.docx 供应商资格要求.docx 投标函 残疾人福利性单位声明函 标的清单 供应商近三年类似项目业绩证明材料.docx 投标文件封面 商务、服务内容偏离表、技术响应偏差表.docx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投标人投标报价没有超出采购预算或最高限价，投标总价应当按照招标文件要求固定价格报价。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拟投入本项目的人员配置情况表.docx 供应商近三年类似项目业绩证明材料.docx 商务、服务内容偏离表、技术响应偏差表.docx 服务方案.docx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拟投入本项目的人员配置情况表.docx 开标一览表 中小企业声明函 供应商认为应提交的相关资格证明材料.docx 分项报价表.docx 供应商资格要求.docx 投标函 残疾人福利性单位声明函 标的清单 供应商近三年类似项目业绩证明材料.docx 投标文件封面 商务、服务内容偏离表、技术响应偏差表.docx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对项目的理解及认识</w:t>
            </w:r>
          </w:p>
        </w:tc>
        <w:tc>
          <w:tcPr>
            <w:tcW w:type="dxa" w:w="2492"/>
          </w:tcPr>
          <w:p>
            <w:pPr>
              <w:pStyle w:val="null3"/>
            </w:pPr>
            <w:r>
              <w:rPr>
                <w:rFonts w:ascii="仿宋_GB2312" w:hAnsi="仿宋_GB2312" w:cs="仿宋_GB2312" w:eastAsia="仿宋_GB2312"/>
              </w:rPr>
              <w:t>包括供应商对制定技术指南，对技术指南与缺陷相互关系的认识及法律法规的理解和实践经验。 方案具体、详细，重点突出，可行性强为优，得（7-10］分； 方案较具体、详细，有重点，有可行性为良，得（4-7］分； 方案不够具体、详细、可行性一般为差，得（1-4］分； 未提供不得分。 本表分值区间符号“［”、“］”表示包含本数，“（”、“）”表示不包含本数。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实施方案的编制</w:t>
            </w:r>
          </w:p>
        </w:tc>
        <w:tc>
          <w:tcPr>
            <w:tcW w:type="dxa" w:w="2492"/>
          </w:tcPr>
          <w:p>
            <w:pPr>
              <w:pStyle w:val="null3"/>
            </w:pPr>
            <w:r>
              <w:rPr>
                <w:rFonts w:ascii="仿宋_GB2312" w:hAnsi="仿宋_GB2312" w:cs="仿宋_GB2312" w:eastAsia="仿宋_GB2312"/>
              </w:rPr>
              <w:t>包括技术指南编制的依据、编制的方式、编制场所、编制的时间安排等。 方案具体、详细，重点突出，可行性强为优，得（7-10］分； 方案较具体、详细，有重点，有可行性为良，得（4-7］分； 方案不够具体、详细、可行性一般为差，得（1-4］分；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项目服务标准、服务质量保障措施</w:t>
            </w:r>
          </w:p>
        </w:tc>
        <w:tc>
          <w:tcPr>
            <w:tcW w:type="dxa" w:w="2492"/>
          </w:tcPr>
          <w:p>
            <w:pPr>
              <w:pStyle w:val="null3"/>
            </w:pPr>
            <w:r>
              <w:rPr>
                <w:rFonts w:ascii="仿宋_GB2312" w:hAnsi="仿宋_GB2312" w:cs="仿宋_GB2312" w:eastAsia="仿宋_GB2312"/>
              </w:rPr>
              <w:t>项目服务标准、服务质量保障措施，主要评审其合理性、具体性及可操作性。 项目服务标准、服务质量保障措施合理、可行，得（7-10］分； 项目服务标准、服务质量保障措施一般得（4-7］分； 项目服务标准、服务质量保障措施较差得（1-4］分；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服务保障能力</w:t>
            </w:r>
          </w:p>
        </w:tc>
        <w:tc>
          <w:tcPr>
            <w:tcW w:type="dxa" w:w="2492"/>
          </w:tcPr>
          <w:p>
            <w:pPr>
              <w:pStyle w:val="null3"/>
            </w:pPr>
            <w:r>
              <w:rPr>
                <w:rFonts w:ascii="仿宋_GB2312" w:hAnsi="仿宋_GB2312" w:cs="仿宋_GB2312" w:eastAsia="仿宋_GB2312"/>
              </w:rPr>
              <w:t>根据投标人的综合服务支撑能力情况以及为完成本项目制定周密的保障措施。 保障措施详细、明确、可行，得（7-10］分； 保障措施一般得（4-7］分； 保障措施较差得（1-4］分；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投标人根据本项目特点，提供具有针对性、切实、可行性、有效性的合理化建议。 建议内容合理、可行计（7-10］分； 建议内容基本合理、可行计（4-7］分； 建议内容不合理、不可行计（1-4］分。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投标人根据项目工作特点，提供工作保密措施情况。 保密措施内容详尽合理、严谨性强计计（7-10］分； 保密措施有一定内容、较严谨计（4-7］分； 有保密措施但内容欠缺计（1-4］分。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项目负责人学历</w:t>
            </w:r>
          </w:p>
        </w:tc>
        <w:tc>
          <w:tcPr>
            <w:tcW w:type="dxa" w:w="2492"/>
          </w:tcPr>
          <w:p>
            <w:pPr>
              <w:pStyle w:val="null3"/>
            </w:pPr>
            <w:r>
              <w:rPr>
                <w:rFonts w:ascii="仿宋_GB2312" w:hAnsi="仿宋_GB2312" w:cs="仿宋_GB2312" w:eastAsia="仿宋_GB2312"/>
              </w:rPr>
              <w:t>拟投入本项目的项目负责人具有本科及以上学历计2分，具有大专学历计1分，其他不得分。提供项目负责人相关证件复印件。</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拟投入本项目的人员配置情况表.docx</w:t>
            </w:r>
          </w:p>
        </w:tc>
      </w:tr>
      <w:tr>
        <w:tc>
          <w:tcPr>
            <w:tcW w:type="dxa" w:w="831"/>
            <w:vMerge/>
          </w:tcPr>
          <w:p/>
        </w:tc>
        <w:tc>
          <w:tcPr>
            <w:tcW w:type="dxa" w:w="1661"/>
          </w:tcPr>
          <w:p>
            <w:pPr>
              <w:pStyle w:val="null3"/>
            </w:pPr>
            <w:r>
              <w:rPr>
                <w:rFonts w:ascii="仿宋_GB2312" w:hAnsi="仿宋_GB2312" w:cs="仿宋_GB2312" w:eastAsia="仿宋_GB2312"/>
              </w:rPr>
              <w:t>项目负责人业绩</w:t>
            </w:r>
          </w:p>
        </w:tc>
        <w:tc>
          <w:tcPr>
            <w:tcW w:type="dxa" w:w="2492"/>
          </w:tcPr>
          <w:p>
            <w:pPr>
              <w:pStyle w:val="null3"/>
            </w:pPr>
            <w:r>
              <w:rPr>
                <w:rFonts w:ascii="仿宋_GB2312" w:hAnsi="仿宋_GB2312" w:cs="仿宋_GB2312" w:eastAsia="仿宋_GB2312"/>
              </w:rPr>
              <w:t>拟投入本项目的项目负责人具有丰富的工作经验，能够带领及引导队人员顺利完成项目,并达到采购人要求。（以中标通知书或咨询合同为准，时间以标通知书鉴发时间或咨询合同签订时间为准，项目负责人姓名以咨询合同或中标通知书中约定的负责人为准，咨询合同或中标通知书中无法体现拟派项目设计负责人信息时，以该项目建设单位出具的加盖该项目建设单位公章的相关证明材料中负责人信息为准）。每有1项得2分，最多得4分。 注：项目负责人业绩与企业业绩重复时，不重复得分。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拟投入本项目的人员配置情况表.docx</w:t>
            </w:r>
          </w:p>
        </w:tc>
      </w:tr>
      <w:tr>
        <w:tc>
          <w:tcPr>
            <w:tcW w:type="dxa" w:w="831"/>
            <w:vMerge/>
          </w:tcPr>
          <w:p/>
        </w:tc>
        <w:tc>
          <w:tcPr>
            <w:tcW w:type="dxa" w:w="1661"/>
          </w:tcPr>
          <w:p>
            <w:pPr>
              <w:pStyle w:val="null3"/>
            </w:pPr>
            <w:r>
              <w:rPr>
                <w:rFonts w:ascii="仿宋_GB2312" w:hAnsi="仿宋_GB2312" w:cs="仿宋_GB2312" w:eastAsia="仿宋_GB2312"/>
              </w:rPr>
              <w:t>拟派项目团队成员情况</w:t>
            </w:r>
          </w:p>
        </w:tc>
        <w:tc>
          <w:tcPr>
            <w:tcW w:type="dxa" w:w="2492"/>
          </w:tcPr>
          <w:p>
            <w:pPr>
              <w:pStyle w:val="null3"/>
            </w:pPr>
            <w:r>
              <w:rPr>
                <w:rFonts w:ascii="仿宋_GB2312" w:hAnsi="仿宋_GB2312" w:cs="仿宋_GB2312" w:eastAsia="仿宋_GB2312"/>
              </w:rPr>
              <w:t>拟投入项目咨询团队有详细的人员配备方案、人员安排有具体方案，分工合理、责任明确，能确保项目顺利实施。 人员配备合理、科学、可行性强计（7-10］分； 人员配备较合理、科学、可行性较强计（4-7］分； 人员配备不太合理、科学、可行性不强计（1-4］分。 提供本次服务管理人员配备情况表（须提供配备人员相关资格证书、身份证、学历，单位参保情况等证明材料），未提供不得分。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拟投入本项目的人员配置情况表.docx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后续技术服务方案及承诺（10分），根据提供的各项服务承诺，工作进度、质量、工期及其他方面实质性承诺。 服务承诺可操作性强、细节描述详细、完整优越计（7-10］分； 有相对的操作性、承诺内容良好计（4-7］分； 服务承诺内容一般的计（1-4］分；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投标人需提供近三年来（2022年至今）类似业绩证明材料，每提供1个业绩得1分；最高得4分（附合同协议书或中标通知书复印件，以合同签订时间或中标通知书签发日期为准）。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供应商近三年类似项目业绩证明材料.docx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投标报价得分=(基准价／投标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详见附件：商务、服务内容偏离表、技术响应偏差表.docx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详见附件：拟投入本项目的人员配置情况表.docx</w:t>
      </w:r>
    </w:p>
    <w:p>
      <w:pPr>
        <w:pStyle w:val="null3"/>
        <w:ind w:firstLine="960"/>
      </w:pPr>
      <w:r>
        <w:rPr>
          <w:rFonts w:ascii="仿宋_GB2312" w:hAnsi="仿宋_GB2312" w:cs="仿宋_GB2312" w:eastAsia="仿宋_GB2312"/>
        </w:rPr>
        <w:t>详见附件：供应商近三年类似项目业绩证明材料.docx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详见附件：供应商认为应提交的相关资格证明材料.docx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详见附件：设计合同.docx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