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版本号：DQB-2025050--CS20250702001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2025年农业转移人口市民化奖励资金(省级)-明德门小学厕所改造、主席台维修、水路改造项目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DQB-2025050--CS</w:t>
      </w:r>
      <w:r>
        <w:br/>
      </w:r>
      <w:r>
        <w:br/>
      </w:r>
      <w:r>
        <w:br/>
      </w:r>
    </w:p>
    <w:p>
      <w:pPr>
        <w:pStyle w:val="null3"/>
        <w:jc w:val="center"/>
        <w:outlineLvl w:val="2"/>
      </w:pPr>
      <w:r>
        <w:rPr>
          <w:rFonts w:ascii="仿宋_GB2312" w:hAnsi="仿宋_GB2312" w:cs="仿宋_GB2312" w:eastAsia="仿宋_GB2312"/>
          <w:sz w:val="28"/>
          <w:b/>
        </w:rPr>
        <w:t>西安市雁塔区明德门小学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西安市雁塔区明德门小学</w:t>
      </w:r>
      <w:r>
        <w:rPr>
          <w:rFonts w:ascii="仿宋_GB2312" w:hAnsi="仿宋_GB2312" w:cs="仿宋_GB2312" w:eastAsia="仿宋_GB2312"/>
        </w:rPr>
        <w:t>委托，拟对</w:t>
      </w:r>
      <w:r>
        <w:rPr>
          <w:rFonts w:ascii="仿宋_GB2312" w:hAnsi="仿宋_GB2312" w:cs="仿宋_GB2312" w:eastAsia="仿宋_GB2312"/>
        </w:rPr>
        <w:t>2025年农业转移人口市民化奖励资金(省级)-明德门小学厕所改造、主席台维修、水路改造项目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DQB-2025050--CS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2025年农业转移人口市民化奖励资金(省级)-明德门小学厕所改造、主席台维修、水路改造项目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2025年农业转移人口市民化奖励资金(省级)-明德门小学厕所改造、主席台维修、水路改造项目。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采购包1（明德门小学厕所改造、主席台维修、水路改造）：属于专门面向中小企业采购。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11、其他特殊资格：具备具备建筑工程施工总承包三级及以上资质或建筑装修装饰工程专业承包二级及以上资质，具有有效的安全生产许可证。</w:t>
      </w:r>
    </w:p>
    <w:p>
      <w:pPr>
        <w:pStyle w:val="null3"/>
      </w:pPr>
      <w:r>
        <w:rPr>
          <w:rFonts w:ascii="仿宋_GB2312" w:hAnsi="仿宋_GB2312" w:cs="仿宋_GB2312" w:eastAsia="仿宋_GB2312"/>
        </w:rPr>
        <w:t>12、拟派项目负责人资质和专业要求。：证书等级：建筑工程专业注册建造师二级及以上资格和安全生产考核合格B证 专业：建筑工程专业注册建造师二级及以上资格和安全生产考核合格B证 补充说明：拟派项目经理须具有建筑工程专业注册建造师二级及以上资格和安全生产考核合格B证，且无在建项目（提供无在建承诺函）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西安市雁塔区明德门小学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明德一路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西安市雁塔区明德门小学经办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18966807617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采购包1：535,100.00元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代理服务费收费标准：代理服务费收费标准：定额收取：5000元。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西安市雁塔区明德门小学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西安市雁塔区明德门小学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西安市雁塔区明德门小学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535,100.00</w:t>
      </w:r>
    </w:p>
    <w:p>
      <w:pPr>
        <w:pStyle w:val="null3"/>
      </w:pPr>
      <w:r>
        <w:rPr>
          <w:rFonts w:ascii="仿宋_GB2312" w:hAnsi="仿宋_GB2312" w:cs="仿宋_GB2312" w:eastAsia="仿宋_GB2312"/>
        </w:rPr>
        <w:t>采购包最高限价（元）: 535,000.07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明德门小学厕所改造、主席台维修、水路改造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535,100.00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标的名称：明德门小学厕所改造、主席台维修、水路改造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color w:val="000000"/>
              </w:rPr>
              <w:t>一、依据设计文件的要求，本工程项目的材料、设备、施工须达到所涉及到的现行中华人民共和国以及省、自治区、直辖市或行业的工程建设标准、规范的要求。</w:t>
            </w:r>
          </w:p>
          <w:p>
            <w:pPr>
              <w:pStyle w:val="null3"/>
              <w:ind w:firstLine="480"/>
              <w:jc w:val="left"/>
            </w:pPr>
            <w:r>
              <w:rPr>
                <w:rFonts w:ascii="仿宋_GB2312" w:hAnsi="仿宋_GB2312" w:cs="仿宋_GB2312" w:eastAsia="仿宋_GB2312"/>
                <w:sz w:val="21"/>
                <w:color w:val="000000"/>
              </w:rPr>
              <w:t>二、根据工程设计要求，该项工程项目的材料、设备、施工除须达到以上标准外，还应满足设计要求和业主在磋商文件中的有关要求。</w:t>
            </w:r>
          </w:p>
          <w:p>
            <w:pPr>
              <w:pStyle w:val="null3"/>
              <w:ind w:firstLine="480"/>
              <w:jc w:val="left"/>
            </w:pPr>
            <w:r>
              <w:rPr>
                <w:rFonts w:ascii="仿宋_GB2312" w:hAnsi="仿宋_GB2312" w:cs="仿宋_GB2312" w:eastAsia="仿宋_GB2312"/>
                <w:sz w:val="21"/>
                <w:color w:val="000000"/>
              </w:rPr>
              <w:t>三、该工程项目的材料、设备、施工如无上述一、二条的标准，在材料、设备的定货采购和施工安装时，应出具生产厂家或施工安装企业在技术监督部门已备案企业标准，并经监理和采购人批准后方可实施。</w:t>
            </w:r>
          </w:p>
          <w:p>
            <w:pPr>
              <w:pStyle w:val="null3"/>
              <w:ind w:firstLine="480"/>
              <w:jc w:val="left"/>
            </w:pPr>
            <w:r>
              <w:rPr>
                <w:rFonts w:ascii="仿宋_GB2312" w:hAnsi="仿宋_GB2312" w:cs="仿宋_GB2312" w:eastAsia="仿宋_GB2312"/>
                <w:sz w:val="21"/>
                <w:color w:val="000000"/>
              </w:rPr>
              <w:t>四、项目概况</w:t>
            </w:r>
          </w:p>
          <w:p>
            <w:pPr>
              <w:pStyle w:val="null3"/>
              <w:ind w:firstLine="480"/>
              <w:jc w:val="left"/>
            </w:pPr>
            <w:r>
              <w:rPr>
                <w:rFonts w:ascii="仿宋_GB2312" w:hAnsi="仿宋_GB2312" w:cs="仿宋_GB2312" w:eastAsia="仿宋_GB2312"/>
                <w:sz w:val="21"/>
                <w:color w:val="000000"/>
              </w:rPr>
              <w:t>西安市雁塔区明德门小学学生厕所层数</w:t>
            </w:r>
            <w:r>
              <w:rPr>
                <w:rFonts w:ascii="仿宋_GB2312" w:hAnsi="仿宋_GB2312" w:cs="仿宋_GB2312" w:eastAsia="仿宋_GB2312"/>
                <w:sz w:val="21"/>
                <w:color w:val="000000"/>
              </w:rPr>
              <w:t>4层，建筑面积184.33平方米。因年久失修，地面漏水严重影响楼下使用安全。为实现现有厕所的安全使用，拟对厕所进行维修改造。学校操场主席台防腐木更换以及市政自来水红线内引水管道铺设。</w:t>
            </w:r>
          </w:p>
          <w:p>
            <w:pPr>
              <w:pStyle w:val="null3"/>
              <w:ind w:firstLine="480"/>
              <w:jc w:val="left"/>
            </w:pPr>
            <w:r>
              <w:rPr>
                <w:rFonts w:ascii="仿宋_GB2312" w:hAnsi="仿宋_GB2312" w:cs="仿宋_GB2312" w:eastAsia="仿宋_GB2312"/>
                <w:sz w:val="21"/>
                <w:color w:val="000000"/>
              </w:rPr>
              <w:t>五、商务要求：</w:t>
            </w:r>
          </w:p>
          <w:p>
            <w:pPr>
              <w:pStyle w:val="null3"/>
              <w:ind w:firstLine="480"/>
              <w:jc w:val="left"/>
            </w:pPr>
            <w:r>
              <w:rPr>
                <w:rFonts w:ascii="仿宋_GB2312" w:hAnsi="仿宋_GB2312" w:cs="仿宋_GB2312" w:eastAsia="仿宋_GB2312"/>
                <w:sz w:val="21"/>
                <w:color w:val="000000"/>
              </w:rPr>
              <w:t>1.工期：40日。</w:t>
            </w:r>
          </w:p>
          <w:p>
            <w:pPr>
              <w:pStyle w:val="null3"/>
              <w:ind w:firstLine="480"/>
              <w:jc w:val="left"/>
            </w:pPr>
            <w:r>
              <w:rPr>
                <w:rFonts w:ascii="仿宋_GB2312" w:hAnsi="仿宋_GB2312" w:cs="仿宋_GB2312" w:eastAsia="仿宋_GB2312"/>
                <w:sz w:val="21"/>
                <w:color w:val="000000"/>
              </w:rPr>
              <w:t>2.缺陷责任期：2年。</w:t>
            </w:r>
          </w:p>
          <w:p>
            <w:pPr>
              <w:pStyle w:val="null3"/>
              <w:ind w:firstLine="480"/>
              <w:jc w:val="left"/>
            </w:pPr>
            <w:r>
              <w:rPr>
                <w:rFonts w:ascii="仿宋_GB2312" w:hAnsi="仿宋_GB2312" w:cs="仿宋_GB2312" w:eastAsia="仿宋_GB2312"/>
                <w:sz w:val="21"/>
                <w:color w:val="000000"/>
              </w:rPr>
              <w:t>3.质量保修期：3年</w:t>
            </w:r>
          </w:p>
          <w:p>
            <w:pPr>
              <w:pStyle w:val="null3"/>
              <w:ind w:firstLine="480"/>
              <w:jc w:val="left"/>
            </w:pPr>
            <w:r>
              <w:rPr>
                <w:rFonts w:ascii="仿宋_GB2312" w:hAnsi="仿宋_GB2312" w:cs="仿宋_GB2312" w:eastAsia="仿宋_GB2312"/>
                <w:sz w:val="21"/>
                <w:color w:val="000000"/>
              </w:rPr>
              <w:t>4.实施地点：采购人指定地点；</w:t>
            </w:r>
          </w:p>
          <w:p>
            <w:pPr>
              <w:pStyle w:val="null3"/>
              <w:ind w:firstLine="480"/>
              <w:jc w:val="left"/>
            </w:pPr>
            <w:r>
              <w:rPr>
                <w:rFonts w:ascii="仿宋_GB2312" w:hAnsi="仿宋_GB2312" w:cs="仿宋_GB2312" w:eastAsia="仿宋_GB2312"/>
                <w:sz w:val="21"/>
                <w:color w:val="000000"/>
              </w:rPr>
              <w:t>5.付款方式：</w:t>
            </w:r>
          </w:p>
          <w:p>
            <w:pPr>
              <w:pStyle w:val="null3"/>
              <w:ind w:firstLine="480"/>
              <w:jc w:val="left"/>
            </w:pPr>
            <w:r>
              <w:rPr>
                <w:rFonts w:ascii="仿宋_GB2312" w:hAnsi="仿宋_GB2312" w:cs="仿宋_GB2312" w:eastAsia="仿宋_GB2312"/>
                <w:sz w:val="21"/>
                <w:color w:val="000000"/>
              </w:rPr>
              <w:t>5.1</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15日内，支付合同总价的40%作为预付款。</w:t>
            </w:r>
          </w:p>
          <w:p>
            <w:pPr>
              <w:pStyle w:val="null3"/>
              <w:ind w:firstLine="480"/>
              <w:jc w:val="left"/>
            </w:pPr>
            <w:r>
              <w:rPr>
                <w:rFonts w:ascii="仿宋_GB2312" w:hAnsi="仿宋_GB2312" w:cs="仿宋_GB2312" w:eastAsia="仿宋_GB2312"/>
                <w:sz w:val="21"/>
                <w:color w:val="000000"/>
              </w:rPr>
              <w:t>5.2工程竣工验收合格后，成交供应商向采购人报送决算报告，经采购人结算审计后，以审计结算报告工程价款为准，一次性支付至结算审计后价款的97%，留3%作为质保金，质保期满后无质量问题，支付到</w:t>
            </w:r>
            <w:r>
              <w:rPr>
                <w:rFonts w:ascii="仿宋_GB2312" w:hAnsi="仿宋_GB2312" w:cs="仿宋_GB2312" w:eastAsia="仿宋_GB2312"/>
                <w:sz w:val="21"/>
                <w:color w:val="000000"/>
              </w:rPr>
              <w:t>结算审计后价款的</w:t>
            </w:r>
            <w:r>
              <w:rPr>
                <w:rFonts w:ascii="仿宋_GB2312" w:hAnsi="仿宋_GB2312" w:cs="仿宋_GB2312" w:eastAsia="仿宋_GB2312"/>
                <w:sz w:val="21"/>
                <w:color w:val="000000"/>
              </w:rPr>
              <w:t>100%。</w:t>
            </w:r>
          </w:p>
          <w:p>
            <w:pPr>
              <w:pStyle w:val="null3"/>
              <w:ind w:firstLine="480"/>
              <w:jc w:val="left"/>
            </w:pPr>
            <w:r>
              <w:rPr>
                <w:rFonts w:ascii="仿宋_GB2312" w:hAnsi="仿宋_GB2312" w:cs="仿宋_GB2312" w:eastAsia="仿宋_GB2312"/>
                <w:sz w:val="21"/>
                <w:color w:val="000000"/>
              </w:rPr>
              <w:t>5.保修要求：属于保修范围和内容的项目，供应商应在接到维修通知后， 1 天内派人维修。发生紧急抢修事故，供应商应在接到事故通知后 2 小时内到达事故现场并于 4 小时内完成应急维修。</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供应商负责配合采购人统筹协调项目工序衔接，保证施工的安全和质量，并如期完工。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工程质量应达到国家或专业质量检验评定标准的合格条件。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其他特殊资格</w:t>
            </w:r>
          </w:p>
        </w:tc>
        <w:tc>
          <w:tcPr>
            <w:tcW w:type="dxa" w:w="3322"/>
          </w:tcPr>
          <w:p>
            <w:pPr>
              <w:pStyle w:val="null3"/>
            </w:pPr>
            <w:r>
              <w:rPr>
                <w:rFonts w:ascii="仿宋_GB2312" w:hAnsi="仿宋_GB2312" w:cs="仿宋_GB2312" w:eastAsia="仿宋_GB2312"/>
              </w:rPr>
              <w:t>具备具备建筑工程施工总承包三级及以上资质或建筑装修装饰工程专业承包二级及以上资质，具有有效的安全生产许可证。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证书等级：建筑工程专业注册建造师二级及以上资格和安全生产考核合格B证 专业：建筑工程专业注册建造师二级及以上资格和安全生产考核合格B证 补充说明：拟派项目经理须具有建筑工程专业注册建造师二级及以上资格和安全生产考核合格B证，且无在建项目（提供无在建承诺函）</w:t>
            </w:r>
          </w:p>
        </w:tc>
        <w:tc>
          <w:tcPr>
            <w:tcW w:type="dxa" w:w="1661"/>
          </w:tcPr>
          <w:p>
            <w:pPr>
              <w:pStyle w:val="null3"/>
            </w:pPr>
            <w:r>
              <w:rPr>
                <w:rFonts w:ascii="仿宋_GB2312" w:hAnsi="仿宋_GB2312" w:cs="仿宋_GB2312" w:eastAsia="仿宋_GB2312"/>
              </w:rPr>
              <w:t>项目管理机构组成表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已标价工程量清单 分项报价表 中小企业声明函 技术服务合同条款及其他商务要求应答表 供应商应提交的相关资格证明材料 非联合体不分包响应声明 控股管理关系 法定代表人授权书 强制优先采购产品承诺函 响应文件封面 项目管理机构组成表 残疾人福利性单位声明函 报价函 标的清单 供应商类似项目业绩一览表 响应函 近三年无重大违法 书面声明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响应要求</w:t>
            </w:r>
          </w:p>
        </w:tc>
        <w:tc>
          <w:tcPr>
            <w:tcW w:type="dxa" w:w="3322"/>
          </w:tcPr>
          <w:p>
            <w:pPr>
              <w:pStyle w:val="null3"/>
            </w:pPr>
            <w:r>
              <w:rPr>
                <w:rFonts w:ascii="仿宋_GB2312" w:hAnsi="仿宋_GB2312" w:cs="仿宋_GB2312" w:eastAsia="仿宋_GB2312"/>
              </w:rPr>
              <w:t>同一供应商不得同时参与本项目加固改造施工、监理、鉴定、设计的采购包，如同时参与需放弃参与其他采购包响应，放弃参与的采购包按无效响应处理，否则所有参与的采购包均按无效响应处理。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施工组织及项目管理设置合理、全面。对工程项目的实施具有有效地计划、组织、协调、控制，针对性强、可行性强，能完全确保实现项目的管理目标的得10分； 施工组织及项目管理设置合理、全面。对工程项目的实施具有一定的计划、组织、协调、控制效果，有一定的合理性和可行性的得6分； 施工组织及项目管理设置基本全面、合理，基本能确保实现项目管理目标的得3分； 施工组织或项目管理机构设置部分存在不合理，但总体基本能达到项目管理目标的得1分； 未提供或安排不合理，达不到管理目标的不得分。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施工方案全面、合理，施工方法先进，可行性强，完全满足工程施工要求的得15分； 施工方案全面、合理，施工方法较先进，有一定的可行性，能满足工程施工要求的得10分； 施工方案较完整、合理，施工方案有针对性，基本可行，满足工程施工要求的得5分； 施工方案存在部分不完整，施工方法针对本项目基本可行的得1分； 未提供或明显不合理的不得分。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针对本项目可能出现的问题及重大故障，（包括但不限于因施工造成的水、电、通信的中断抢修、恶劣天气、人为因素等情况）分析全面，应急措施和解决方案具体，可行性强的得10分； 针对本项目可能出现的问题及重大故障有较全面得分析，应急措施和解决方案有一定合理性和可行性的得6分； 针对本项目可能出现的问题及重大故障有基本全面得分析，应急措施和解决方案基本合理可行的得3分； 针对本项目可能出现的问题及重大故障有一定得分析，但分析不太全面，应急措施和解决方案部分合理可行的得1分； 未提供或存在明显不合理的不得分。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进度计划安排，施工进度表和施工网络图</w:t>
            </w:r>
          </w:p>
        </w:tc>
        <w:tc>
          <w:tcPr>
            <w:tcW w:type="dxa" w:w="2492"/>
          </w:tcPr>
          <w:p>
            <w:pPr>
              <w:pStyle w:val="null3"/>
            </w:pPr>
            <w:r>
              <w:rPr>
                <w:rFonts w:ascii="仿宋_GB2312" w:hAnsi="仿宋_GB2312" w:cs="仿宋_GB2312" w:eastAsia="仿宋_GB2312"/>
              </w:rPr>
              <w:t>进度安排合理、可行、科学、符合项目实施需求，施工进度表或网络图表达清晰、合理的得5分； 进度安排较合理、较可行、较符合项目实施需求，施工进度表或网络图表达较不明确、较不清晰的得3分； 进度安排合理和可行较差的，施工进度表或网络图表达不明确、不清晰、较混乱的得1分；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投入本项目机械设备及劳动力安排</w:t>
            </w:r>
          </w:p>
        </w:tc>
        <w:tc>
          <w:tcPr>
            <w:tcW w:type="dxa" w:w="2492"/>
          </w:tcPr>
          <w:p>
            <w:pPr>
              <w:pStyle w:val="null3"/>
            </w:pPr>
            <w:r>
              <w:rPr>
                <w:rFonts w:ascii="仿宋_GB2312" w:hAnsi="仿宋_GB2312" w:cs="仿宋_GB2312" w:eastAsia="仿宋_GB2312"/>
              </w:rPr>
              <w:t>机械配备投入合且数量充足、投入计划紧贴项目进度，劳动力安排合理，可操作性强，能够确保项目如期保质完成的得5分； 机械配备投入计划基本合理，基本与项目进度匹配，劳动力数量基本合理，计划表基本清晰、可行，能保证项目建设进度的得3分； 机械配备投入数量存在部分不合理，与项目建设进度匹配度较差，劳动力数量存在部分不合理，计划表不清晰、可行性较差的得1分；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有清晰合理的工期计划措施，实施进度安排合理，可行性强，具有详细明确的实施进度计划表，能够确保工程如期保质完成的得5分； 进度安排合理，有一定的可行性，实施进度计划基本明确的能够基本保证项目如期完成的得3分； 进度安排合理性、可行性均较差的得1分； 未提供或不能保证项目如期完成的不得分。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确保文明施工、环境保护的组织措施</w:t>
            </w:r>
          </w:p>
        </w:tc>
        <w:tc>
          <w:tcPr>
            <w:tcW w:type="dxa" w:w="2492"/>
          </w:tcPr>
          <w:p>
            <w:pPr>
              <w:pStyle w:val="null3"/>
            </w:pPr>
            <w:r>
              <w:rPr>
                <w:rFonts w:ascii="仿宋_GB2312" w:hAnsi="仿宋_GB2312" w:cs="仿宋_GB2312" w:eastAsia="仿宋_GB2312"/>
              </w:rPr>
              <w:t>措施全面、完整，能从多方面确保文明施工、考虑影响环境得因素，并提出相关解决和防治措施，实施度高、可落地性强，可确保达到环境保护的要求得5分； 措施基本全面、完整，基本有一定的可行性，能基本满足文明施工、环境保护要求的得3分 措施存在较大不合理性、内容简单的得1分；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措施完整全面，能够从多方面保证安全生产，且合理性、可行性强的得5分； 措施基本完整全面，能从多个方面确保安全生产，基本合理、可行的得3分； 措施不完整、全面，但有一定的可行性的得1分；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提供2022年1月1日以来同类项目业绩（以合同复印件加盖供应商公章为准，时间以签订时间为准），每提供1份得2分，本项满分10分。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