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版本号：xhcs-zb-20250320250710001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大雁塔小学石桥华洲城分校扩建项目工程造价审计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xhcs-zb-202503</w:t>
      </w:r>
      <w:r>
        <w:br/>
      </w:r>
      <w:r>
        <w:br/>
      </w:r>
      <w:r>
        <w:br/>
      </w:r>
    </w:p>
    <w:p>
      <w:pPr>
        <w:pStyle w:val="null3"/>
        <w:jc w:val="center"/>
        <w:outlineLvl w:val="2"/>
      </w:pPr>
      <w:r>
        <w:rPr>
          <w:rFonts w:ascii="仿宋_GB2312" w:hAnsi="仿宋_GB2312" w:cs="仿宋_GB2312" w:eastAsia="仿宋_GB2312"/>
          <w:sz w:val="28"/>
          <w:b/>
        </w:rPr>
        <w:t>西安市雁塔区大雁塔小学石桥华洲城分校</w:t>
      </w:r>
    </w:p>
    <w:p>
      <w:pPr>
        <w:pStyle w:val="null3"/>
        <w:jc w:val="center"/>
        <w:outlineLvl w:val="2"/>
      </w:pPr>
      <w:r>
        <w:rPr>
          <w:rFonts w:ascii="仿宋_GB2312" w:hAnsi="仿宋_GB2312" w:cs="仿宋_GB2312" w:eastAsia="仿宋_GB2312"/>
          <w:sz w:val="28"/>
          <w:b/>
        </w:rPr>
        <w:t>陕西兴华创盛项目管理有限公司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陕西兴华创盛项目管理有限公司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西安市雁塔区大雁塔小学石桥华洲城分校</w:t>
      </w:r>
      <w:r>
        <w:rPr>
          <w:rFonts w:ascii="仿宋_GB2312" w:hAnsi="仿宋_GB2312" w:cs="仿宋_GB2312" w:eastAsia="仿宋_GB2312"/>
        </w:rPr>
        <w:t>委托，拟对</w:t>
      </w:r>
      <w:r>
        <w:rPr>
          <w:rFonts w:ascii="仿宋_GB2312" w:hAnsi="仿宋_GB2312" w:cs="仿宋_GB2312" w:eastAsia="仿宋_GB2312"/>
        </w:rPr>
        <w:t>大雁塔小学石桥华洲城分校扩建项目工程造价审计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xhcs-zb-202503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大雁塔小学石桥华洲城分校扩建项目工程造价审计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雁塔区大寨路西段，西三环以东,皂河西侧,现学校以北。占地10362.65㎡(合15.54亩)，总建筑面积20996.96㎡，包含3栋地上单体建筑和1层地下车库，其中，1#综合教学楼建筑面积为11573.88㎡,为地上5层;2#风雨操场、餐厅建筑面积为 1989.00㎡，为地上2层;3#门房建筑面积为41.28㎡，为地上1层;1 层地下车库，建筑面积为7092.30㎡;人防楼梯、出地面坡道的建筑面积为300.50㎡。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采购包1（西安市雁塔区大雁塔小学石桥华洲城分校扩建项目 工程造价审计）：属于专门面向中小企业采购。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1、法定代表人授权委托书：法定代表人直接参加投标的，须出具法定代表人身份证明书，并与营业执照上信息一致。法定代表人授权代表参加投标的，须出具法定代表人授权书及授权代表身份证复印件。</w:t>
      </w:r>
    </w:p>
    <w:p>
      <w:pPr>
        <w:pStyle w:val="null3"/>
      </w:pPr>
      <w:r>
        <w:rPr>
          <w:rFonts w:ascii="仿宋_GB2312" w:hAnsi="仿宋_GB2312" w:cs="仿宋_GB2312" w:eastAsia="仿宋_GB2312"/>
        </w:rPr>
        <w:t>2、拟派项目负责人：具备国家一级注册造价工程师证书，且在本单位注册；</w:t>
      </w:r>
    </w:p>
    <w:p>
      <w:pPr>
        <w:pStyle w:val="null3"/>
      </w:pPr>
      <w:r>
        <w:rPr>
          <w:rFonts w:ascii="仿宋_GB2312" w:hAnsi="仿宋_GB2312" w:cs="仿宋_GB2312" w:eastAsia="仿宋_GB2312"/>
        </w:rPr>
        <w:t>3、供应商信誉要求：不得为“信用中国”网站(http://ww w.creditchina.gov.cn)列入“失信被执行人、重大税收违法失信主体 、政府采购严重违法失信行为记录名单”的供应商；不得为中国政府采购网(http://w ww.ccgp.gov.cn)“政府采购严重违法失信行为 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西安市雁塔区大雁塔小学石桥华洲城分校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西安市雁塔区昆明路华洲城小区内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029-88518032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陕西兴华创盛项目管理有限公司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西安市未央区文景路与凤城十二路交叉口西北140米富尔顿国际财富中心B座2楼会议室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吕丹梦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19232929301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西安市雁塔区大雁塔小学石桥华洲城分校</w:t>
      </w:r>
      <w:r>
        <w:rPr>
          <w:rFonts w:ascii="仿宋_GB2312" w:hAnsi="仿宋_GB2312" w:cs="仿宋_GB2312" w:eastAsia="仿宋_GB2312"/>
        </w:rPr>
        <w:t>和</w:t>
      </w:r>
      <w:r>
        <w:rPr>
          <w:rFonts w:ascii="仿宋_GB2312" w:hAnsi="仿宋_GB2312" w:cs="仿宋_GB2312" w:eastAsia="仿宋_GB2312"/>
        </w:rPr>
        <w:t>陕西兴华创盛项目管理有限公司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西安市雁塔区大雁塔小学石桥华洲城分校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陕西兴华创盛项目管理有限公司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西安市雁塔区大雁塔小学石桥华洲城分校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陕西兴华创盛项目管理有限公司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陕西兴华创盛项目管理有限公司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陕西兴华创盛项目管理有限公司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陕西兴华创盛项目管理有限公司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联系人：吕丹梦</w:t>
      </w:r>
    </w:p>
    <w:p>
      <w:pPr>
        <w:pStyle w:val="null3"/>
      </w:pPr>
      <w:r>
        <w:rPr>
          <w:rFonts w:ascii="仿宋_GB2312" w:hAnsi="仿宋_GB2312" w:cs="仿宋_GB2312" w:eastAsia="仿宋_GB2312"/>
        </w:rPr>
        <w:t>联系电话：19232929301</w:t>
      </w:r>
    </w:p>
    <w:p>
      <w:pPr>
        <w:pStyle w:val="null3"/>
      </w:pPr>
      <w:r>
        <w:rPr>
          <w:rFonts w:ascii="仿宋_GB2312" w:hAnsi="仿宋_GB2312" w:cs="仿宋_GB2312" w:eastAsia="仿宋_GB2312"/>
        </w:rPr>
        <w:t>地址：西安市未央区文景路与凤城十二路交叉口西北140米富尔顿国际财富中心B座2楼会议室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位于雁塔区大寨路西段，西三环以东,皂河西侧,现学校以北。占地10362.65㎡(合15.54亩)，总建筑面积20996.96㎡，包含3栋地上单体建筑和1层地下车库，其中，1#综合教学楼建筑面积为11573.88㎡,为地上5层;2#风雨操场、餐厅建筑面积为 1989.00㎡，为地上2层;3#门房建筑面积为41.28㎡，为地上1层;1 层地下车库，建筑面积为7092.30㎡;人防楼梯、出地面坡道的建筑面积为300.50㎡。</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235,000.00</w:t>
      </w:r>
    </w:p>
    <w:p>
      <w:pPr>
        <w:pStyle w:val="null3"/>
      </w:pPr>
      <w:r>
        <w:rPr>
          <w:rFonts w:ascii="仿宋_GB2312" w:hAnsi="仿宋_GB2312" w:cs="仿宋_GB2312" w:eastAsia="仿宋_GB2312"/>
        </w:rPr>
        <w:t>采购包最高限价（元）: 235,000.00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工程造价审计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标的名称：工程造价审计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一、项目概况：</w:t>
            </w:r>
          </w:p>
          <w:p>
            <w:pPr>
              <w:pStyle w:val="null3"/>
              <w:ind w:firstLine="480"/>
            </w:pPr>
            <w:r>
              <w:rPr>
                <w:rFonts w:ascii="仿宋_GB2312" w:hAnsi="仿宋_GB2312" w:cs="仿宋_GB2312" w:eastAsia="仿宋_GB2312"/>
              </w:rPr>
              <w:t>项目位于雁塔区大寨路西段，西三环以东</w:t>
            </w:r>
            <w:r>
              <w:rPr>
                <w:rFonts w:ascii="仿宋_GB2312" w:hAnsi="仿宋_GB2312" w:cs="仿宋_GB2312" w:eastAsia="仿宋_GB2312"/>
              </w:rPr>
              <w:t>,皂河西侧,现学校以北。占地10362.65㎡(合15.54亩)，总建筑面积20996.96㎡</w:t>
            </w:r>
            <w:r>
              <w:rPr>
                <w:rFonts w:ascii="仿宋_GB2312" w:hAnsi="仿宋_GB2312" w:cs="仿宋_GB2312" w:eastAsia="仿宋_GB2312"/>
              </w:rPr>
              <w:t>，</w:t>
            </w:r>
            <w:r>
              <w:rPr>
                <w:rFonts w:ascii="仿宋_GB2312" w:hAnsi="仿宋_GB2312" w:cs="仿宋_GB2312" w:eastAsia="仿宋_GB2312"/>
              </w:rPr>
              <w:t>包含</w:t>
            </w:r>
            <w:r>
              <w:rPr>
                <w:rFonts w:ascii="仿宋_GB2312" w:hAnsi="仿宋_GB2312" w:cs="仿宋_GB2312" w:eastAsia="仿宋_GB2312"/>
              </w:rPr>
              <w:t>3栋地上单体建筑和1层地下车库</w:t>
            </w:r>
            <w:r>
              <w:rPr>
                <w:rFonts w:ascii="仿宋_GB2312" w:hAnsi="仿宋_GB2312" w:cs="仿宋_GB2312" w:eastAsia="仿宋_GB2312"/>
              </w:rPr>
              <w:t>，</w:t>
            </w:r>
            <w:r>
              <w:rPr>
                <w:rFonts w:ascii="仿宋_GB2312" w:hAnsi="仿宋_GB2312" w:cs="仿宋_GB2312" w:eastAsia="仿宋_GB2312"/>
              </w:rPr>
              <w:t>其中，</w:t>
            </w:r>
            <w:r>
              <w:rPr>
                <w:rFonts w:ascii="仿宋_GB2312" w:hAnsi="仿宋_GB2312" w:cs="仿宋_GB2312" w:eastAsia="仿宋_GB2312"/>
              </w:rPr>
              <w:t>1#综合教学楼建筑面积为11573.88㎡,为地上5层;2#风雨操场、餐厅建筑面积为 1989.00㎡，为地上2层;3#门房建筑面积为41.28㎡，为地上1层;1 层地下车库，建筑面积为7092.30㎡;人防楼梯、出地面坡道的建筑面积为300.50㎡</w:t>
            </w:r>
            <w:r>
              <w:rPr>
                <w:rFonts w:ascii="仿宋_GB2312" w:hAnsi="仿宋_GB2312" w:cs="仿宋_GB2312" w:eastAsia="仿宋_GB2312"/>
              </w:rPr>
              <w:t>。</w:t>
            </w:r>
          </w:p>
          <w:p>
            <w:pPr>
              <w:pStyle w:val="null3"/>
              <w:ind w:left="195"/>
              <w:jc w:val="left"/>
            </w:pPr>
            <w:r>
              <w:rPr>
                <w:rFonts w:ascii="仿宋_GB2312" w:hAnsi="仿宋_GB2312" w:cs="仿宋_GB2312" w:eastAsia="仿宋_GB2312"/>
              </w:rPr>
              <w:t>二 、审核内容要求：</w:t>
            </w:r>
          </w:p>
          <w:p>
            <w:pPr>
              <w:pStyle w:val="null3"/>
            </w:pPr>
            <w:r>
              <w:rPr>
                <w:rFonts w:ascii="仿宋_GB2312" w:hAnsi="仿宋_GB2312" w:cs="仿宋_GB2312" w:eastAsia="仿宋_GB2312"/>
              </w:rPr>
              <w:t>(1)项目的施工招标投标和工程承包发包情况：</w:t>
            </w:r>
          </w:p>
          <w:p>
            <w:pPr>
              <w:pStyle w:val="null3"/>
            </w:pPr>
            <w:r>
              <w:rPr>
                <w:rFonts w:ascii="仿宋_GB2312" w:hAnsi="仿宋_GB2312" w:cs="仿宋_GB2312" w:eastAsia="仿宋_GB2312"/>
              </w:rPr>
              <w:t>揭示招投标管理和实施过程中存在的问题，促进项目建设单位加强管理，进 一步规范招投标行为、完善制度。 一是通过建设项目相关立项审批文件，了解项 目投资规模、建设地点等内容，分析建设单位和建设项目是否符合招标的基本条</w:t>
            </w:r>
            <w:r>
              <w:rPr>
                <w:rFonts w:ascii="仿宋_GB2312" w:hAnsi="仿宋_GB2312" w:cs="仿宋_GB2312" w:eastAsia="仿宋_GB2312"/>
              </w:rPr>
              <w:t>件和要素。二是审查是否按规定对施工进行了公开招标，是否存在肢解发包或规</w:t>
            </w:r>
            <w:r>
              <w:rPr>
                <w:rFonts w:ascii="仿宋_GB2312" w:hAnsi="仿宋_GB2312" w:cs="仿宋_GB2312" w:eastAsia="仿宋_GB2312"/>
              </w:rPr>
              <w:t>避招标的行为，采用邀请方式招标是否经过主管部门审批。三是掌握中标通知书、 合同文件发布签订时间是否符合相关规定，与施工资料中的时间逻辑进行比， 分析是否存在虚假招标，先施工后招标的情况。四是审查招投标中存在的其他违</w:t>
            </w:r>
            <w:r>
              <w:rPr>
                <w:rFonts w:ascii="仿宋_GB2312" w:hAnsi="仿宋_GB2312" w:cs="仿宋_GB2312" w:eastAsia="仿宋_GB2312"/>
              </w:rPr>
              <w:t>法违规问题。</w:t>
            </w:r>
          </w:p>
          <w:p>
            <w:pPr>
              <w:pStyle w:val="null3"/>
            </w:pPr>
            <w:r>
              <w:rPr>
                <w:rFonts w:ascii="仿宋_GB2312" w:hAnsi="仿宋_GB2312" w:cs="仿宋_GB2312" w:eastAsia="仿宋_GB2312"/>
              </w:rPr>
              <w:t>(2)竣工工程结算情况：</w:t>
            </w:r>
          </w:p>
          <w:p>
            <w:pPr>
              <w:pStyle w:val="null3"/>
            </w:pPr>
            <w:r>
              <w:rPr>
                <w:rFonts w:ascii="仿宋_GB2312" w:hAnsi="仿宋_GB2312" w:cs="仿宋_GB2312" w:eastAsia="仿宋_GB2312"/>
              </w:rPr>
              <w:t>通过审核、比对、查证，对发现的送审工程不符  合施工合同，或违反相关政策文件、现行计价取费标准及工程量计算规则的差错， 以及其他人为提高造价，予以纠正，从而有效地控制工程结算造价、规范工程造  价管理。 一是根据建筑法律法规、合同、技术规范等标准文件，审查竣工资料的 真实性、完整性、合理性。二是计算送审工程量是否准确。三是审查送审综合单 价是否严格执行了合同文件及相关定额规定，工程价款的结算是否合规，有无提  高取费标准、高估冒算和抬高工程造价。四是审查工程变更、现场签证是否完备、 真实，是否严格执行有关程序，理由和依据是否充分，计算是否合理，签证是否  重复，有无借变更为名抬高工程造价。五是审查工程建设相关的规费、税金是否</w:t>
            </w:r>
            <w:r>
              <w:rPr>
                <w:rFonts w:ascii="仿宋_GB2312" w:hAnsi="仿宋_GB2312" w:cs="仿宋_GB2312" w:eastAsia="仿宋_GB2312"/>
              </w:rPr>
              <w:t>足额计提和缴纳。</w:t>
            </w:r>
            <w:r>
              <w:rPr>
                <w:rFonts w:ascii="仿宋_GB2312" w:hAnsi="仿宋_GB2312" w:cs="仿宋_GB2312" w:eastAsia="仿宋_GB2312"/>
              </w:rPr>
              <w:t>(3)施工合同签订、履行情况；</w:t>
            </w:r>
          </w:p>
          <w:p>
            <w:pPr>
              <w:pStyle w:val="null3"/>
            </w:pPr>
            <w:r>
              <w:rPr>
                <w:rFonts w:ascii="仿宋_GB2312" w:hAnsi="仿宋_GB2312" w:cs="仿宋_GB2312" w:eastAsia="仿宋_GB2312"/>
              </w:rPr>
              <w:t>一是审查是否按招标投标文件签订施工合同，合同签订是否及时，合同内容 是否完整、明晰。二是合同的补充、变更是否符合相关法律规定。三是项目实施中合同的甲乙双方是否按照合同履行了相应的权利和义务。四是审查合同主体是否存在违法违规分包和转包。</w:t>
            </w:r>
          </w:p>
          <w:p>
            <w:pPr>
              <w:pStyle w:val="null3"/>
              <w:spacing w:before="195"/>
              <w:ind w:left="15"/>
            </w:pPr>
            <w:r>
              <w:rPr>
                <w:rFonts w:ascii="仿宋_GB2312" w:hAnsi="仿宋_GB2312" w:cs="仿宋_GB2312" w:eastAsia="仿宋_GB2312"/>
              </w:rPr>
              <w:t>三、审核服务要求：</w:t>
            </w:r>
          </w:p>
          <w:p>
            <w:pPr>
              <w:pStyle w:val="null3"/>
              <w:spacing w:before="195"/>
              <w:ind w:left="15"/>
            </w:pPr>
            <w:r>
              <w:rPr>
                <w:rFonts w:ascii="仿宋_GB2312" w:hAnsi="仿宋_GB2312" w:cs="仿宋_GB2312" w:eastAsia="仿宋_GB2312"/>
              </w:rPr>
              <w:t>(1)成交供应商需与采购人签订审核业务协议书。</w:t>
            </w:r>
          </w:p>
          <w:p>
            <w:pPr>
              <w:pStyle w:val="null3"/>
            </w:pPr>
            <w:r>
              <w:rPr>
                <w:rFonts w:ascii="仿宋_GB2312" w:hAnsi="仿宋_GB2312" w:cs="仿宋_GB2312" w:eastAsia="仿宋_GB2312"/>
              </w:rPr>
              <w:t>(2)在审核工作期间，成交供应商审核项目负责人实施安排考勤管理、业</w:t>
            </w:r>
            <w:r>
              <w:rPr>
                <w:rFonts w:ascii="仿宋_GB2312" w:hAnsi="仿宋_GB2312" w:cs="仿宋_GB2312" w:eastAsia="仿宋_GB2312"/>
              </w:rPr>
              <w:t>务指导与监督，以及对其审核工作质量和履行协议情况的评定。</w:t>
            </w:r>
          </w:p>
          <w:p>
            <w:pPr>
              <w:pStyle w:val="null3"/>
            </w:pPr>
            <w:r>
              <w:rPr>
                <w:rFonts w:ascii="仿宋_GB2312" w:hAnsi="仿宋_GB2312" w:cs="仿宋_GB2312" w:eastAsia="仿宋_GB2312"/>
              </w:rPr>
              <w:t>(3)成交供应商审核人员应严格按照其在响应文件中承诺的实施方案进行审核，按照规范程序获取审核证据，编制审核工作底稿、取证单，出具审核报告。</w:t>
            </w:r>
          </w:p>
          <w:p>
            <w:pPr>
              <w:pStyle w:val="null3"/>
            </w:pPr>
            <w:r>
              <w:rPr>
                <w:rFonts w:ascii="仿宋_GB2312" w:hAnsi="仿宋_GB2312" w:cs="仿宋_GB2312" w:eastAsia="仿宋_GB2312"/>
              </w:rPr>
              <w:t>(4)对查出的问题做到事实清楚、证据充分，定性准确，提出的意见恰当， 在约定时间内完成审核任务。在审核工作的过程中遇到的重大问题应及时反馈、报告采购人。</w:t>
            </w:r>
          </w:p>
          <w:p>
            <w:pPr>
              <w:pStyle w:val="null3"/>
            </w:pPr>
            <w:r>
              <w:rPr>
                <w:rFonts w:ascii="仿宋_GB2312" w:hAnsi="仿宋_GB2312" w:cs="仿宋_GB2312" w:eastAsia="仿宋_GB2312"/>
              </w:rPr>
              <w:t>(5)在审核过程中要认真细致地对相关数据及资料进行审查、核对，并按照实际工作情况梳理相关问题后向采购人及时进行汇报。</w:t>
            </w:r>
          </w:p>
          <w:p>
            <w:pPr>
              <w:pStyle w:val="null3"/>
            </w:pPr>
            <w:r>
              <w:rPr>
                <w:rFonts w:ascii="仿宋_GB2312" w:hAnsi="仿宋_GB2312" w:cs="仿宋_GB2312" w:eastAsia="仿宋_GB2312"/>
              </w:rPr>
              <w:t>(6)成交供应商不得将审核过程中知悉的国家秘密、商业秘密和采购人提 供的资料外泄。若成交供应商与被审核单位及有关人员存在不利于客观公正开展审核工作的关系，成交供应商应当主动向采购人提出回避。</w:t>
            </w:r>
          </w:p>
          <w:p>
            <w:pPr>
              <w:pStyle w:val="null3"/>
            </w:pPr>
            <w:r>
              <w:rPr>
                <w:rFonts w:ascii="仿宋_GB2312" w:hAnsi="仿宋_GB2312" w:cs="仿宋_GB2312" w:eastAsia="仿宋_GB2312"/>
              </w:rPr>
              <w:t>(7)成交供应商在审核过程中终止受聘或审核项目完成后，要将实施审核过程中收集和形成的全部纸质和电子介质资料及时移交采购人，不得将参与审核工作的相关审核资料或结果用于与受托审核事项无关的方面。</w:t>
            </w:r>
          </w:p>
          <w:p>
            <w:pPr>
              <w:pStyle w:val="null3"/>
            </w:pPr>
            <w:r>
              <w:rPr>
                <w:rFonts w:ascii="仿宋_GB2312" w:hAnsi="仿宋_GB2312" w:cs="仿宋_GB2312" w:eastAsia="仿宋_GB2312"/>
              </w:rPr>
              <w:t>(8)成交供应商在审核过程中，出现下列情形，采购人将取消与成交供应商约定，并上报有关部门予以处罚：</w:t>
            </w:r>
          </w:p>
          <w:p>
            <w:pPr>
              <w:pStyle w:val="null3"/>
            </w:pPr>
            <w:r>
              <w:rPr>
                <w:rFonts w:ascii="仿宋_GB2312" w:hAnsi="仿宋_GB2312" w:cs="仿宋_GB2312" w:eastAsia="仿宋_GB2312"/>
              </w:rPr>
              <w:t>a. 成交供应商审核工作效率低，审核工作不规范、审核结论避重就轻，未按约定的时间完成审核项目，未按磋商文件的要求实施审核或提供审核报告的；</w:t>
            </w:r>
          </w:p>
          <w:p>
            <w:pPr>
              <w:pStyle w:val="null3"/>
            </w:pPr>
            <w:r>
              <w:rPr>
                <w:rFonts w:ascii="仿宋_GB2312" w:hAnsi="仿宋_GB2312" w:cs="仿宋_GB2312" w:eastAsia="仿宋_GB2312"/>
              </w:rPr>
              <w:t>b.成交供应商派出的所有审核人员不服从采购人的监督管理，不能认真履职，撰写的审核报告质量不合格且不配合修改的；</w:t>
            </w:r>
          </w:p>
          <w:p>
            <w:pPr>
              <w:pStyle w:val="null3"/>
            </w:pPr>
            <w:r>
              <w:rPr>
                <w:rFonts w:ascii="仿宋_GB2312" w:hAnsi="仿宋_GB2312" w:cs="仿宋_GB2312" w:eastAsia="仿宋_GB2312"/>
              </w:rPr>
              <w:t>c. 成交供应商派出的工作人员违反有关法律、法规的；</w:t>
            </w:r>
          </w:p>
          <w:p>
            <w:pPr>
              <w:pStyle w:val="null3"/>
            </w:pPr>
            <w:r>
              <w:rPr>
                <w:rFonts w:ascii="仿宋_GB2312" w:hAnsi="仿宋_GB2312" w:cs="仿宋_GB2312" w:eastAsia="仿宋_GB2312"/>
              </w:rPr>
              <w:t>d. 成交供应商有弄虚作假、串通作弊、泄漏秘密等重大违法行为的。</w:t>
            </w:r>
          </w:p>
          <w:p>
            <w:pPr>
              <w:pStyle w:val="null3"/>
            </w:pPr>
            <w:r>
              <w:rPr>
                <w:rFonts w:ascii="仿宋_GB2312" w:hAnsi="仿宋_GB2312" w:cs="仿宋_GB2312" w:eastAsia="仿宋_GB2312"/>
              </w:rPr>
              <w:t>(9)成交供应商在审核过程中，应当认真履职，出现以下情形，采购人将按照合同条款进行处罚：</w:t>
            </w:r>
          </w:p>
          <w:p>
            <w:pPr>
              <w:pStyle w:val="null3"/>
            </w:pPr>
            <w:r>
              <w:rPr>
                <w:rFonts w:ascii="仿宋_GB2312" w:hAnsi="仿宋_GB2312" w:cs="仿宋_GB2312" w:eastAsia="仿宋_GB2312"/>
              </w:rPr>
              <w:t>a. 不经采购人允许，随意变更项目负责人及其他项目组成人员的；</w:t>
            </w:r>
          </w:p>
          <w:p>
            <w:pPr>
              <w:pStyle w:val="null3"/>
            </w:pPr>
            <w:r>
              <w:rPr>
                <w:rFonts w:ascii="仿宋_GB2312" w:hAnsi="仿宋_GB2312" w:cs="仿宋_GB2312" w:eastAsia="仿宋_GB2312"/>
              </w:rPr>
              <w:t>b. 审核过程中审核工作人员违反采购人制定的工作纪律或被有效投诉的；</w:t>
            </w:r>
          </w:p>
          <w:p>
            <w:pPr>
              <w:pStyle w:val="null3"/>
            </w:pPr>
            <w:r>
              <w:rPr>
                <w:rFonts w:ascii="仿宋_GB2312" w:hAnsi="仿宋_GB2312" w:cs="仿宋_GB2312" w:eastAsia="仿宋_GB2312"/>
              </w:rPr>
              <w:t>c.采购人认为成交供应商派出的工作人员不能胜任本次审核工作要求调换的；</w:t>
            </w:r>
          </w:p>
          <w:p>
            <w:pPr>
              <w:pStyle w:val="null3"/>
            </w:pPr>
            <w:r>
              <w:rPr>
                <w:rFonts w:ascii="仿宋_GB2312" w:hAnsi="仿宋_GB2312" w:cs="仿宋_GB2312" w:eastAsia="仿宋_GB2312"/>
              </w:rPr>
              <w:t>d. 成交供应商出具的审核报告严重失实、结论意见不准确，存在应发现而未发现、应披露而未披露问题的。</w:t>
            </w:r>
          </w:p>
          <w:p>
            <w:pPr>
              <w:pStyle w:val="null3"/>
            </w:pPr>
            <w:r>
              <w:rPr>
                <w:rFonts w:ascii="仿宋_GB2312" w:hAnsi="仿宋_GB2312" w:cs="仿宋_GB2312" w:eastAsia="仿宋_GB2312"/>
              </w:rPr>
              <w:t>四、 其他要求：</w:t>
            </w:r>
          </w:p>
          <w:p>
            <w:pPr>
              <w:pStyle w:val="null3"/>
            </w:pPr>
            <w:r>
              <w:rPr>
                <w:rFonts w:ascii="仿宋_GB2312" w:hAnsi="仿宋_GB2312" w:cs="仿宋_GB2312" w:eastAsia="仿宋_GB2312"/>
              </w:rPr>
              <w:t>(1)审核报告要求：成交供应商应当在本项目服务期内，出具工程竣工结</w:t>
            </w:r>
            <w:r>
              <w:rPr>
                <w:rFonts w:ascii="仿宋_GB2312" w:hAnsi="仿宋_GB2312" w:cs="仿宋_GB2312" w:eastAsia="仿宋_GB2312"/>
              </w:rPr>
              <w:t>算审核报告，并负责答复采购人有关提问和质疑。</w:t>
            </w:r>
          </w:p>
          <w:p>
            <w:pPr>
              <w:pStyle w:val="null3"/>
            </w:pPr>
            <w:r>
              <w:rPr>
                <w:rFonts w:ascii="仿宋_GB2312" w:hAnsi="仿宋_GB2312" w:cs="仿宋_GB2312" w:eastAsia="仿宋_GB2312"/>
              </w:rPr>
              <w:t>(2)成交供应商对出具的工程竣工结算审核报告承担法律责任。</w:t>
            </w:r>
          </w:p>
          <w:p>
            <w:pPr>
              <w:pStyle w:val="null3"/>
            </w:pPr>
            <w:r>
              <w:rPr>
                <w:rFonts w:ascii="仿宋_GB2312" w:hAnsi="仿宋_GB2312" w:cs="仿宋_GB2312" w:eastAsia="仿宋_GB2312"/>
              </w:rPr>
              <w:t>(3)如按照最终审定结果确认的审核费用高于采购预算金额，采购人按预</w:t>
            </w:r>
            <w:r>
              <w:rPr>
                <w:rFonts w:ascii="仿宋_GB2312" w:hAnsi="仿宋_GB2312" w:cs="仿宋_GB2312" w:eastAsia="仿宋_GB2312"/>
              </w:rPr>
              <w:t>算金额支付，多出部分不予支付。</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满足项目所需人员要求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供应商自行配备满足采购需求的相应设备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自签订合同之日起六个月内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 2.采购人收到验收申请后进行验收，验收时成交人应无条件予以配合并提供验收所需的全部资料，若成交人不配合或者未按合同要求提供服务的，采购人将拒绝验收。 3.验收依据：竞争性磋商文件、响应文件、合同文本、国内相应的标准及规范。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出具正式审计报告甲方验收通过后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按《中华人民共和国民法典》中的相关条款执行。（二）未按合同或招标书要求提供服务，提交的成果质量未能达到采购文件规定的标准，采购单位有权终止合同 。（三）乙方及其工作人员需遵守采购单位的保密规定，不以任何形式将收集的所有资料提供给合同双方以外的其他方，如有违反保密规定，采购单位有权终止合同。 解决争议的方法:本合同在履行过程中发生的争议，由甲、乙双方当事人协商解决，协商不成的按下列第(一)种方式解决:(一)提交西安仲裁委员会仲裁:(二)依法向甲方所在地人民法院起诉。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1.送审金额：暂按138650600.00元计。 2.报价要求：基础费率报价不得超过1‰,效益费率报价不得高于2.31%。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法人或其他组织或自然人，并提供法人或者其他组织合法有效的统一社会信用代码的营业执照等证明文件，事业单位应提供事业单位法人证书，自然人应提供身份证明文件； 2）具有履行合同所必需的设备和专业技术能力（提供承诺函）； 3）有依法缴纳税收和社会保障资金的良好记录税收缴纳证明：提供响应文件提交截止时间前一年内连续三个月已缴纳的纳税证明或完税证明（包含增值税、企业所得税至少一种),依法免税的供应商应提供相关证明文件；社保缴纳证明：提供响应文件提交截止时间前一年内连续三个月已缴存的社会保障资金缴费证明或参保证明，依法不需要缴纳社会保障资金的供应商应提供相关证明文件； 4）参加政府采购活动前三年内，在经营活动中没有重大违法记录（提供书面声明）； 5）法律、行政法规规定的其他条件（提供承诺函）；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度的经审计的财务会计报告（成立时间至提交磋商响应文件截止时间不足一年的可提供成立后任意时段的资产负债表），或本年度基本开户银行出具的资信证明（附开户许可证或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法定代表人直接参加投标的，须出具法定代表人身份证明书，并与营业执照上信息一致。法定代表人授权代表参加投标的，须出具法定代表人授权书及授权代表身份证复印件。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响应文件（格式）.docx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具备国家一级注册造价工程师证书，且在本单位注册；</w:t>
            </w:r>
          </w:p>
        </w:tc>
        <w:tc>
          <w:tcPr>
            <w:tcW w:type="dxa" w:w="1661"/>
          </w:tcPr>
          <w:p>
            <w:pPr>
              <w:pStyle w:val="null3"/>
            </w:pPr>
            <w:r>
              <w:rPr>
                <w:rFonts w:ascii="仿宋_GB2312" w:hAnsi="仿宋_GB2312" w:cs="仿宋_GB2312" w:eastAsia="仿宋_GB2312"/>
              </w:rPr>
              <w:t>响应文件（格式）.docx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不得为“信用中国”网站(http://ww w.creditchina.gov.cn)列入“失信被执行人、重大税收违法失信主体 、政府采购严重违法失信行为记录名单”的供应商；不得为中国政府采购网(http://w ww.ccgp.gov.cn)“政府采购严重违法失信行为 记录名单”中的供应商。</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 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响应有效期满足要求的</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满足本磋商文件中标注的实质性条款（服务期限、服务地点、支付方式、支付约定）要求的</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响应文件（格式）.docx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1、供应商须针对本项目的审核内容阐述具体实施方案。方案要求全面 具体，内容完整，条理清晰。包括但不限于：审核工作的目的、范围、 内容等。方案描述详细、全面，满足文件要求，计4-9分；方案描述不详细，考虑不全面，计0-3.99分。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2、供应商须针对本项目提供全面的审核业务政策解读，要求审核工作业务流程符合国家相关标准、规范，并提供详细的说明。说明描述详细、 全面，对政策的解读及理解透彻，能够保证本项目审核工作流程符合国家相关标准、规范计8-14分；说明描述较为全面，基本满足采购人要求，提供对政策的解读，但有细微偏差计4-7.99分；说明描述不详细考虑不全面，计0-3.99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3、供应商须提供完整的工作大纲、工作计划、工作时效、关键节点安排及人力保障。针对上述要求提供的方案说明描述详细、全面，逻辑清所，满足采购人要求，对于工作大纲、工作计划、工作时效、关键节点安排及人力保障均有完整详细的方案说明，计8-11分；方案说明描述较为全面，合理，逻辑较为清晰，仅能基本满足上述要求的计4-7.99分；服务方案描述不详细，考虑不全面，计0-3.99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4、供应商须按照采购人的质量要求出具成果，要求对审核工作及审核 报告建立健全的质量控制体系。质量保证措施得当、合理、可行，质量控制体系健全等，满足采购人需求，计8-11分；提供了质量保证措施、质量控制体系等，措施基本得当，但有细微瑕疵的4-7.99分，对上述要求响应不全面或有缺项漏项的计0-3.99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5、供应商须提供针对本项目的对审核工作及审核报告的进度保证措施。措施得当、合理、可行，能够按照规定时间完成任务，制定具有可操作性的审核进度控制措施等，并附跟踪审核的阶段进行计划等，计4-7分；进度保证措施可行性不高，计划不详细，计0-3.99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6、供应商须提供本项目审核中的重点和难点分析：对项目实施过程中的重点和难点提出切实可行的方案及解决措施，计3-5分；对项目实施过程中的重点和难点提出基本可行的方案及有效的解决方案计0-2.99分。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7、对供应商提供的现场审核资料对接、保管的保证措施等，进行综合赋分，根据响应情况计0-3分。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8、供应商须提供为采购人提供专业特色服务的描述，具备承担相应审核风险的能力。根据响应情况计0-3分。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9、供应商提供签署廉洁从业承诺、廉洁措施，包括但不限于项目负责人、相关技术人员的廉洁从业措施及管理办法，根据响应情况计0-2分。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1、项目负责人具有国家注册造价工程师执业资格并满2年及以上的得2分，满1年的得1分，其余不得分。(人员无证书或证书不在有效期的不计分) 2、近三年(2022年1月1日至今)担任过类似结算审核项目的负责人。 每提供1项业绩得1分，负责人业绩最高计1分。(为保证项目质量，需提供项目负责人与供应商签订的劳动合同，未满足要求或材料有缺漏，项目负责人部分1、2条均不得分。)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供应商须提供针对本项目的详细人员配备情况。要求拟派项目成员相关 专业人员搭配合理、职能健全，岗位分工明确、职责清晰，包括人员配 备情况及水平、人员安排、专业配置、从业经历、参与工作经验等方面 均应满足本项目采购需求。项目团队人员配置合理，专业性强，岗位明确等，计5-7分；项目团队人员具有一定的专业性，配置较为合理等，计3-4.99分。人员配置不合理，分工不明确等，计0-2.99分。(为保证项目质量，响应文件中须附拟派项目团队所有人员的资质证书及在本单位的劳动合同，未满足要求或缺漏项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对服务期限、进度、人员到位情况、工作底稿准确规范性与成果文件一 致性情况作出实质性承诺(应包含不能完全履行承诺时愿意接受相关处罚的承诺)。 能够针对上述要求作出完整实质性的承诺得3-6分； 基本满足上述要求且能做出相关对应的承诺得0-2.99分。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投标人提供2022年1月1日至今类似项目业绩（预算编制或预（结）算审核类）；每提供一个项目得3分,最高得9分。业绩证明文件需提供合同复印件。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价格分采用低价优先法计算，即满足磋商文件要求且投标价格最低的投标报价为评审基准价，其价格分为满分。其他投标人的价格分统一按照下列公式计算：投标报价得分 =（评审基准价/磋商报价）×价格权值×100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