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5F065">
      <w:pPr>
        <w:spacing w:line="360" w:lineRule="auto"/>
        <w:rPr>
          <w:b/>
          <w:sz w:val="28"/>
        </w:rPr>
      </w:pPr>
      <w:r>
        <w:rPr>
          <w:rFonts w:hint="eastAsia"/>
          <w:b/>
          <w:sz w:val="28"/>
        </w:rPr>
        <w:t>合同编号：</w:t>
      </w:r>
    </w:p>
    <w:p w14:paraId="533A9D02">
      <w:pPr>
        <w:spacing w:line="360" w:lineRule="auto"/>
      </w:pPr>
    </w:p>
    <w:p w14:paraId="1095BE3D">
      <w:pPr>
        <w:spacing w:line="360" w:lineRule="auto"/>
        <w:jc w:val="center"/>
        <w:rPr>
          <w:rFonts w:hint="eastAsia" w:cs="Times New Roman"/>
          <w:sz w:val="30"/>
          <w:szCs w:val="30"/>
          <w:lang w:val="en-US"/>
        </w:rPr>
      </w:pPr>
    </w:p>
    <w:p w14:paraId="6E6F2A9A">
      <w:pPr>
        <w:spacing w:line="360" w:lineRule="auto"/>
        <w:jc w:val="center"/>
        <w:rPr>
          <w:rFonts w:hint="eastAsia" w:cs="Times New Roman"/>
          <w:b/>
          <w:bCs/>
          <w:sz w:val="48"/>
          <w:szCs w:val="48"/>
          <w:lang w:val="en-US" w:eastAsia="zh-CN"/>
        </w:rPr>
      </w:pPr>
    </w:p>
    <w:p w14:paraId="01B35022">
      <w:pPr>
        <w:spacing w:line="360" w:lineRule="auto"/>
        <w:jc w:val="center"/>
        <w:rPr>
          <w:rFonts w:hint="default" w:eastAsia="宋体" w:cs="Times New Roman"/>
          <w:b/>
          <w:bCs/>
          <w:sz w:val="48"/>
          <w:szCs w:val="48"/>
          <w:lang w:val="en-US" w:eastAsia="zh-CN"/>
        </w:rPr>
      </w:pPr>
      <w:r>
        <w:rPr>
          <w:rFonts w:hint="eastAsia" w:cs="Times New Roman"/>
          <w:b/>
          <w:bCs/>
          <w:sz w:val="48"/>
          <w:szCs w:val="48"/>
          <w:lang w:val="en-US" w:eastAsia="zh-CN"/>
        </w:rPr>
        <w:t>项目名称</w:t>
      </w:r>
    </w:p>
    <w:p w14:paraId="7AAD03E2">
      <w:pPr>
        <w:spacing w:line="360" w:lineRule="auto"/>
        <w:jc w:val="center"/>
        <w:rPr>
          <w:rFonts w:hint="eastAsia" w:cs="Times New Roman"/>
          <w:sz w:val="30"/>
          <w:szCs w:val="30"/>
          <w:lang w:val="en-US"/>
        </w:rPr>
      </w:pPr>
    </w:p>
    <w:p w14:paraId="507129DD">
      <w:pPr>
        <w:spacing w:line="360" w:lineRule="auto"/>
        <w:jc w:val="center"/>
        <w:rPr>
          <w:rFonts w:hint="eastAsia" w:cs="Times New Roman"/>
          <w:sz w:val="30"/>
          <w:szCs w:val="30"/>
          <w:lang w:val="en-US"/>
        </w:rPr>
      </w:pPr>
    </w:p>
    <w:p w14:paraId="7AC3C8CB">
      <w:pPr>
        <w:spacing w:line="360" w:lineRule="auto"/>
        <w:jc w:val="center"/>
        <w:rPr>
          <w:rFonts w:cs="Times New Roman"/>
          <w:sz w:val="30"/>
          <w:szCs w:val="30"/>
          <w:lang w:val="en-US"/>
        </w:rPr>
      </w:pPr>
      <w:r>
        <w:rPr>
          <w:rFonts w:hint="eastAsia" w:cs="Times New Roman"/>
          <w:sz w:val="30"/>
          <w:szCs w:val="30"/>
          <w:lang w:val="en-US"/>
        </w:rPr>
        <w:t>（项目编号：    ）</w:t>
      </w:r>
    </w:p>
    <w:p w14:paraId="4BDBBBA2">
      <w:pPr>
        <w:spacing w:line="360" w:lineRule="auto"/>
        <w:rPr>
          <w:sz w:val="30"/>
          <w:szCs w:val="30"/>
        </w:rPr>
      </w:pPr>
    </w:p>
    <w:p w14:paraId="78946A40">
      <w:pPr>
        <w:spacing w:line="360" w:lineRule="auto"/>
        <w:rPr>
          <w:szCs w:val="21"/>
        </w:rPr>
      </w:pPr>
    </w:p>
    <w:p w14:paraId="1E684783">
      <w:pPr>
        <w:spacing w:line="360" w:lineRule="auto"/>
        <w:rPr>
          <w:szCs w:val="21"/>
        </w:rPr>
      </w:pPr>
    </w:p>
    <w:p w14:paraId="2C1010BE">
      <w:pPr>
        <w:spacing w:line="360" w:lineRule="auto"/>
        <w:rPr>
          <w:szCs w:val="21"/>
        </w:rPr>
      </w:pPr>
    </w:p>
    <w:p w14:paraId="44328A02">
      <w:pPr>
        <w:spacing w:line="360" w:lineRule="auto"/>
        <w:rPr>
          <w:szCs w:val="21"/>
        </w:rPr>
      </w:pPr>
    </w:p>
    <w:p w14:paraId="5C0CDA9F">
      <w:pPr>
        <w:spacing w:line="360" w:lineRule="auto"/>
        <w:rPr>
          <w:szCs w:val="21"/>
        </w:rPr>
      </w:pPr>
    </w:p>
    <w:p w14:paraId="43542B33">
      <w:pPr>
        <w:spacing w:line="360" w:lineRule="auto"/>
        <w:rPr>
          <w:szCs w:val="21"/>
        </w:rPr>
      </w:pPr>
    </w:p>
    <w:p w14:paraId="665991CB">
      <w:pPr>
        <w:spacing w:line="360" w:lineRule="auto"/>
        <w:rPr>
          <w:szCs w:val="21"/>
        </w:rPr>
      </w:pPr>
    </w:p>
    <w:p w14:paraId="503E88D5">
      <w:pPr>
        <w:spacing w:line="360" w:lineRule="auto"/>
        <w:rPr>
          <w:szCs w:val="21"/>
        </w:rPr>
      </w:pPr>
    </w:p>
    <w:p w14:paraId="73955DD7">
      <w:pPr>
        <w:spacing w:line="360" w:lineRule="auto"/>
        <w:rPr>
          <w:sz w:val="24"/>
        </w:rPr>
      </w:pPr>
    </w:p>
    <w:p w14:paraId="675D953F">
      <w:pPr>
        <w:snapToGrid w:val="0"/>
        <w:spacing w:line="360" w:lineRule="auto"/>
        <w:ind w:left="1131" w:leftChars="514"/>
        <w:rPr>
          <w:spacing w:val="116"/>
          <w:sz w:val="28"/>
          <w:szCs w:val="28"/>
        </w:rPr>
      </w:pPr>
    </w:p>
    <w:p w14:paraId="64242FB7">
      <w:pPr>
        <w:snapToGrid w:val="0"/>
        <w:spacing w:line="360" w:lineRule="auto"/>
        <w:ind w:left="1131" w:leftChars="514"/>
        <w:rPr>
          <w:spacing w:val="116"/>
          <w:sz w:val="28"/>
          <w:szCs w:val="28"/>
        </w:rPr>
      </w:pPr>
    </w:p>
    <w:p w14:paraId="0207A8E9">
      <w:pPr>
        <w:snapToGrid w:val="0"/>
        <w:spacing w:line="360" w:lineRule="auto"/>
        <w:ind w:left="1131" w:leftChars="514"/>
        <w:rPr>
          <w:sz w:val="28"/>
          <w:szCs w:val="28"/>
          <w:u w:val="single"/>
        </w:rPr>
      </w:pPr>
      <w:r>
        <w:rPr>
          <w:rFonts w:hint="eastAsia"/>
          <w:spacing w:val="116"/>
          <w:sz w:val="28"/>
          <w:szCs w:val="28"/>
        </w:rPr>
        <w:t>项目名称</w:t>
      </w:r>
      <w:r>
        <w:rPr>
          <w:rFonts w:hint="eastAsia"/>
          <w:sz w:val="28"/>
          <w:szCs w:val="28"/>
        </w:rPr>
        <w:t>：</w:t>
      </w:r>
      <w:r>
        <w:rPr>
          <w:rFonts w:hint="eastAsia"/>
          <w:sz w:val="28"/>
          <w:szCs w:val="28"/>
          <w:u w:val="single"/>
        </w:rPr>
        <w:t xml:space="preserve">                              </w:t>
      </w:r>
    </w:p>
    <w:p w14:paraId="02409E24">
      <w:pPr>
        <w:snapToGrid w:val="0"/>
        <w:spacing w:line="360" w:lineRule="auto"/>
        <w:ind w:left="1131" w:leftChars="514"/>
        <w:rPr>
          <w:sz w:val="28"/>
          <w:szCs w:val="28"/>
          <w:u w:val="single"/>
        </w:rPr>
      </w:pPr>
      <w:r>
        <w:rPr>
          <w:rFonts w:hint="eastAsia"/>
          <w:sz w:val="28"/>
          <w:szCs w:val="28"/>
        </w:rPr>
        <w:t>发包人（甲方）：</w:t>
      </w:r>
      <w:r>
        <w:rPr>
          <w:rFonts w:hint="eastAsia"/>
          <w:sz w:val="28"/>
          <w:szCs w:val="28"/>
          <w:u w:val="single"/>
        </w:rPr>
        <w:t xml:space="preserve">                               </w:t>
      </w:r>
    </w:p>
    <w:p w14:paraId="2A3062AD">
      <w:pPr>
        <w:snapToGrid w:val="0"/>
        <w:spacing w:line="360" w:lineRule="auto"/>
        <w:ind w:left="1131" w:leftChars="514"/>
        <w:rPr>
          <w:sz w:val="28"/>
          <w:szCs w:val="28"/>
          <w:u w:val="single"/>
          <w:lang w:val="en-US"/>
        </w:rPr>
      </w:pPr>
      <w:r>
        <w:rPr>
          <w:rFonts w:hint="eastAsia"/>
          <w:sz w:val="28"/>
          <w:szCs w:val="28"/>
        </w:rPr>
        <w:t>承包人（乙方）：</w:t>
      </w:r>
      <w:r>
        <w:rPr>
          <w:rFonts w:hint="eastAsia"/>
          <w:sz w:val="28"/>
          <w:szCs w:val="28"/>
          <w:u w:val="single"/>
        </w:rPr>
        <w:t xml:space="preserve">                              </w:t>
      </w:r>
      <w:r>
        <w:rPr>
          <w:rFonts w:hint="eastAsia"/>
          <w:sz w:val="28"/>
          <w:szCs w:val="28"/>
          <w:u w:val="single"/>
          <w:lang w:val="en-US"/>
        </w:rPr>
        <w:t xml:space="preserve"> </w:t>
      </w:r>
    </w:p>
    <w:p w14:paraId="35DCDAB6">
      <w:pPr>
        <w:snapToGrid w:val="0"/>
        <w:spacing w:line="360" w:lineRule="auto"/>
        <w:ind w:left="1131" w:leftChars="514"/>
        <w:rPr>
          <w:sz w:val="28"/>
          <w:szCs w:val="28"/>
          <w:u w:val="single"/>
        </w:rPr>
      </w:pPr>
      <w:r>
        <w:rPr>
          <w:rFonts w:hint="eastAsia"/>
          <w:spacing w:val="116"/>
          <w:sz w:val="28"/>
          <w:szCs w:val="28"/>
        </w:rPr>
        <w:t>签订时间</w:t>
      </w:r>
      <w:r>
        <w:rPr>
          <w:rFonts w:hint="eastAsia"/>
          <w:sz w:val="28"/>
          <w:szCs w:val="28"/>
        </w:rPr>
        <w:t>：</w:t>
      </w:r>
      <w:r>
        <w:rPr>
          <w:rFonts w:hint="eastAsia"/>
          <w:sz w:val="28"/>
          <w:szCs w:val="28"/>
          <w:u w:val="single"/>
        </w:rPr>
        <w:t xml:space="preserve">                              </w:t>
      </w:r>
    </w:p>
    <w:p w14:paraId="19BE0BA0">
      <w:pPr>
        <w:snapToGrid w:val="0"/>
        <w:spacing w:line="360" w:lineRule="auto"/>
        <w:ind w:left="1131" w:leftChars="514"/>
        <w:rPr>
          <w:b/>
          <w:sz w:val="24"/>
          <w:szCs w:val="24"/>
          <w:u w:val="single"/>
        </w:rPr>
      </w:pPr>
      <w:r>
        <w:rPr>
          <w:rFonts w:hint="eastAsia"/>
          <w:spacing w:val="116"/>
          <w:sz w:val="28"/>
          <w:szCs w:val="28"/>
        </w:rPr>
        <w:t>签订地点</w:t>
      </w:r>
      <w:r>
        <w:rPr>
          <w:rFonts w:hint="eastAsia"/>
          <w:sz w:val="28"/>
          <w:szCs w:val="28"/>
        </w:rPr>
        <w:t>：</w:t>
      </w:r>
      <w:r>
        <w:rPr>
          <w:rFonts w:hint="eastAsia"/>
          <w:sz w:val="28"/>
          <w:szCs w:val="28"/>
          <w:u w:val="single"/>
        </w:rPr>
        <w:t xml:space="preserve">                              </w:t>
      </w:r>
    </w:p>
    <w:p w14:paraId="26E4FEFA">
      <w:pPr>
        <w:spacing w:line="360" w:lineRule="auto"/>
        <w:rPr>
          <w:b/>
          <w:bCs/>
          <w:sz w:val="32"/>
          <w:szCs w:val="32"/>
        </w:rPr>
        <w:sectPr>
          <w:footerReference r:id="rId3" w:type="default"/>
          <w:pgSz w:w="11906" w:h="16838"/>
          <w:pgMar w:top="1440" w:right="1800" w:bottom="1440" w:left="1800" w:header="851" w:footer="992" w:gutter="0"/>
          <w:cols w:space="720" w:num="1"/>
          <w:docGrid w:type="lines" w:linePitch="312" w:charSpace="0"/>
        </w:sectPr>
      </w:pPr>
    </w:p>
    <w:p w14:paraId="691F5DD6">
      <w:pPr>
        <w:keepNext w:val="0"/>
        <w:keepLines w:val="0"/>
        <w:pageBreakBefore w:val="0"/>
        <w:widowControl w:val="0"/>
        <w:kinsoku/>
        <w:wordWrap/>
        <w:overflowPunct/>
        <w:topLinePunct w:val="0"/>
        <w:autoSpaceDE w:val="0"/>
        <w:autoSpaceDN w:val="0"/>
        <w:bidi w:val="0"/>
        <w:adjustRightInd/>
        <w:snapToGrid/>
        <w:spacing w:before="78" w:line="360" w:lineRule="auto"/>
        <w:ind w:left="440" w:leftChars="200"/>
        <w:jc w:val="left"/>
        <w:textAlignment w:val="auto"/>
        <w:rPr>
          <w:rFonts w:ascii="宋体" w:hAnsi="宋体" w:eastAsia="宋体" w:cs="宋体"/>
          <w:sz w:val="24"/>
          <w:szCs w:val="24"/>
        </w:rPr>
      </w:pPr>
      <w:r>
        <w:rPr>
          <w:rFonts w:ascii="宋体" w:hAnsi="宋体" w:eastAsia="宋体" w:cs="宋体"/>
          <w:spacing w:val="-3"/>
          <w:sz w:val="24"/>
          <w:szCs w:val="24"/>
        </w:rPr>
        <w:t>甲方：</w:t>
      </w:r>
    </w:p>
    <w:p w14:paraId="3A4B8798">
      <w:pPr>
        <w:keepNext w:val="0"/>
        <w:keepLines w:val="0"/>
        <w:pageBreakBefore w:val="0"/>
        <w:widowControl w:val="0"/>
        <w:kinsoku/>
        <w:wordWrap/>
        <w:overflowPunct/>
        <w:topLinePunct w:val="0"/>
        <w:autoSpaceDE w:val="0"/>
        <w:autoSpaceDN w:val="0"/>
        <w:bidi w:val="0"/>
        <w:adjustRightInd/>
        <w:snapToGrid/>
        <w:spacing w:before="78" w:line="360" w:lineRule="auto"/>
        <w:ind w:left="440" w:leftChars="200"/>
        <w:jc w:val="left"/>
        <w:textAlignment w:val="auto"/>
        <w:rPr>
          <w:rFonts w:ascii="宋体" w:hAnsi="宋体" w:eastAsia="宋体" w:cs="宋体"/>
          <w:spacing w:val="-3"/>
          <w:sz w:val="24"/>
          <w:szCs w:val="24"/>
        </w:rPr>
      </w:pPr>
      <w:r>
        <w:rPr>
          <w:rFonts w:ascii="宋体" w:hAnsi="宋体" w:eastAsia="宋体" w:cs="宋体"/>
          <w:spacing w:val="-3"/>
          <w:sz w:val="24"/>
          <w:szCs w:val="24"/>
        </w:rPr>
        <w:t>乙方：</w:t>
      </w:r>
    </w:p>
    <w:p w14:paraId="57DB36E5">
      <w:pPr>
        <w:keepNext w:val="0"/>
        <w:keepLines w:val="0"/>
        <w:pageBreakBefore w:val="0"/>
        <w:widowControl w:val="0"/>
        <w:kinsoku/>
        <w:wordWrap/>
        <w:overflowPunct/>
        <w:topLinePunct w:val="0"/>
        <w:autoSpaceDE w:val="0"/>
        <w:autoSpaceDN w:val="0"/>
        <w:bidi w:val="0"/>
        <w:adjustRightInd/>
        <w:snapToGrid/>
        <w:spacing w:before="197" w:line="360" w:lineRule="auto"/>
        <w:ind w:left="440" w:leftChars="200" w:right="36" w:firstLine="480"/>
        <w:jc w:val="left"/>
        <w:textAlignment w:val="auto"/>
        <w:rPr>
          <w:rFonts w:ascii="宋体" w:hAnsi="宋体" w:eastAsia="宋体" w:cs="宋体"/>
          <w:sz w:val="24"/>
          <w:szCs w:val="24"/>
        </w:rPr>
      </w:pPr>
      <w:r>
        <w:rPr>
          <w:rFonts w:ascii="宋体" w:hAnsi="宋体" w:eastAsia="宋体" w:cs="宋体"/>
          <w:spacing w:val="-4"/>
          <w:sz w:val="24"/>
          <w:szCs w:val="24"/>
        </w:rPr>
        <w:t>甲乙双方依据</w:t>
      </w:r>
      <w:r>
        <w:rPr>
          <w:rFonts w:hint="eastAsia" w:ascii="宋体" w:hAnsi="宋体" w:eastAsia="宋体" w:cs="宋体"/>
          <w:spacing w:val="-4"/>
          <w:sz w:val="24"/>
          <w:szCs w:val="24"/>
          <w:lang w:eastAsia="zh-CN"/>
        </w:rPr>
        <w:t>陕西兴华创盛项目管理有限公司</w:t>
      </w:r>
      <w:r>
        <w:rPr>
          <w:rFonts w:ascii="宋体" w:hAnsi="宋体" w:eastAsia="宋体" w:cs="宋体"/>
          <w:spacing w:val="-4"/>
          <w:sz w:val="24"/>
          <w:szCs w:val="24"/>
        </w:rPr>
        <w:t>组织的公开招标中标结果，对甲方组织</w:t>
      </w:r>
      <w:r>
        <w:rPr>
          <w:rFonts w:ascii="宋体" w:hAnsi="宋体" w:eastAsia="宋体" w:cs="宋体"/>
          <w:sz w:val="24"/>
          <w:szCs w:val="24"/>
        </w:rPr>
        <w:t>实施的</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z w:val="24"/>
          <w:szCs w:val="24"/>
        </w:rPr>
        <w:t>项目进行招标投标、工程结算情况等审</w:t>
      </w:r>
      <w:r>
        <w:rPr>
          <w:rFonts w:ascii="宋体" w:hAnsi="宋体" w:eastAsia="宋体" w:cs="宋体"/>
          <w:spacing w:val="-3"/>
          <w:sz w:val="24"/>
          <w:szCs w:val="24"/>
        </w:rPr>
        <w:t>核事项审核，经甲乙双方协商，现就费用达成以下约定：</w:t>
      </w:r>
    </w:p>
    <w:p w14:paraId="30D9D1CF">
      <w:pPr>
        <w:keepNext w:val="0"/>
        <w:keepLines w:val="0"/>
        <w:pageBreakBefore w:val="0"/>
        <w:widowControl w:val="0"/>
        <w:kinsoku/>
        <w:wordWrap/>
        <w:overflowPunct/>
        <w:topLinePunct w:val="0"/>
        <w:autoSpaceDE w:val="0"/>
        <w:autoSpaceDN w:val="0"/>
        <w:bidi w:val="0"/>
        <w:adjustRightInd/>
        <w:snapToGrid/>
        <w:spacing w:before="210" w:line="360" w:lineRule="auto"/>
        <w:ind w:left="440" w:leftChars="200"/>
        <w:jc w:val="left"/>
        <w:textAlignment w:val="auto"/>
        <w:outlineLvl w:val="6"/>
        <w:rPr>
          <w:rFonts w:ascii="宋体" w:hAnsi="宋体" w:eastAsia="宋体" w:cs="宋体"/>
          <w:sz w:val="24"/>
          <w:szCs w:val="24"/>
        </w:rPr>
      </w:pPr>
      <w:r>
        <w:rPr>
          <w:rFonts w:ascii="宋体" w:hAnsi="宋体" w:eastAsia="宋体" w:cs="宋体"/>
          <w:b/>
          <w:bCs/>
          <w:spacing w:val="-7"/>
          <w:sz w:val="24"/>
          <w:szCs w:val="24"/>
        </w:rPr>
        <w:t>一、审核收费</w:t>
      </w:r>
    </w:p>
    <w:p w14:paraId="35BC6CC3">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hint="default" w:ascii="宋体" w:hAnsi="宋体" w:eastAsia="宋体" w:cs="宋体"/>
          <w:spacing w:val="-4"/>
          <w:sz w:val="24"/>
          <w:szCs w:val="24"/>
          <w:lang w:val="en-US" w:eastAsia="zh-CN"/>
        </w:rPr>
      </w:pPr>
      <w:r>
        <w:rPr>
          <w:rFonts w:ascii="宋体" w:hAnsi="宋体" w:eastAsia="宋体" w:cs="宋体"/>
          <w:spacing w:val="-4"/>
          <w:sz w:val="24"/>
          <w:szCs w:val="24"/>
        </w:rPr>
        <w:t>1.本次审核服务费以审核机关出具的审核报告确定的送审造价及核减金</w:t>
      </w:r>
      <w:r>
        <w:rPr>
          <w:rFonts w:hint="eastAsia" w:ascii="宋体" w:hAnsi="宋体" w:eastAsia="宋体" w:cs="宋体"/>
          <w:spacing w:val="-4"/>
          <w:sz w:val="24"/>
          <w:szCs w:val="24"/>
          <w:lang w:eastAsia="zh-CN"/>
        </w:rPr>
        <w:t>额</w:t>
      </w:r>
      <w:r>
        <w:rPr>
          <w:rFonts w:hint="eastAsia" w:ascii="宋体" w:hAnsi="宋体" w:eastAsia="宋体" w:cs="宋体"/>
          <w:spacing w:val="-4"/>
          <w:sz w:val="24"/>
          <w:szCs w:val="24"/>
          <w:lang w:val="en-US" w:eastAsia="zh-CN"/>
        </w:rPr>
        <w:t>为依据。</w:t>
      </w:r>
    </w:p>
    <w:p w14:paraId="46998C68">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2.收取标准为：</w:t>
      </w:r>
    </w:p>
    <w:p w14:paraId="3F8BC480">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199" w:firstLineChars="86"/>
        <w:jc w:val="left"/>
        <w:textAlignment w:val="auto"/>
        <w:rPr>
          <w:rFonts w:hint="eastAsia" w:ascii="宋体" w:hAnsi="宋体" w:eastAsia="宋体" w:cs="宋体"/>
          <w:spacing w:val="6"/>
          <w:sz w:val="24"/>
          <w:szCs w:val="24"/>
          <w:u w:val="single" w:color="auto"/>
          <w:lang w:eastAsia="zh-CN"/>
        </w:rPr>
      </w:pPr>
      <w:r>
        <w:rPr>
          <w:rFonts w:ascii="宋体" w:hAnsi="宋体" w:eastAsia="宋体" w:cs="宋体"/>
          <w:spacing w:val="-4"/>
          <w:sz w:val="24"/>
          <w:szCs w:val="24"/>
        </w:rPr>
        <w:t>(1)基本审核费为送审造价的</w:t>
      </w:r>
      <w:r>
        <w:rPr>
          <w:rFonts w:ascii="宋体" w:hAnsi="宋体" w:eastAsia="宋体" w:cs="宋体"/>
          <w:spacing w:val="-89"/>
          <w:sz w:val="24"/>
          <w:szCs w:val="24"/>
        </w:rPr>
        <w:t xml:space="preserve"> </w:t>
      </w:r>
      <w:r>
        <w:rPr>
          <w:rFonts w:ascii="宋体" w:hAnsi="宋体" w:eastAsia="宋体" w:cs="宋体"/>
          <w:spacing w:val="6"/>
          <w:sz w:val="24"/>
          <w:szCs w:val="24"/>
          <w:u w:val="single" w:color="auto"/>
        </w:rPr>
        <w:t xml:space="preserve">      </w:t>
      </w:r>
      <w:r>
        <w:rPr>
          <w:rFonts w:hint="eastAsia" w:ascii="宋体" w:hAnsi="宋体" w:eastAsia="宋体" w:cs="宋体"/>
          <w:spacing w:val="6"/>
          <w:sz w:val="24"/>
          <w:szCs w:val="24"/>
          <w:u w:val="single" w:color="auto"/>
        </w:rPr>
        <w:t>‰</w:t>
      </w:r>
      <w:r>
        <w:rPr>
          <w:rFonts w:hint="eastAsia" w:ascii="宋体" w:hAnsi="宋体" w:eastAsia="宋体" w:cs="宋体"/>
          <w:spacing w:val="6"/>
          <w:sz w:val="24"/>
          <w:szCs w:val="24"/>
          <w:u w:val="none" w:color="auto"/>
          <w:lang w:eastAsia="zh-CN"/>
        </w:rPr>
        <w:t>。</w:t>
      </w:r>
    </w:p>
    <w:p w14:paraId="4286709E">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215" w:firstLineChars="86"/>
        <w:jc w:val="left"/>
        <w:textAlignment w:val="auto"/>
        <w:rPr>
          <w:rFonts w:ascii="宋体" w:hAnsi="宋体" w:eastAsia="宋体" w:cs="宋体"/>
          <w:sz w:val="24"/>
          <w:szCs w:val="24"/>
        </w:rPr>
      </w:pPr>
      <w:r>
        <w:rPr>
          <w:rFonts w:ascii="宋体" w:hAnsi="宋体" w:eastAsia="宋体" w:cs="宋体"/>
          <w:spacing w:val="5"/>
          <w:sz w:val="24"/>
          <w:szCs w:val="24"/>
        </w:rPr>
        <w:t>(2)</w:t>
      </w:r>
      <w:r>
        <w:rPr>
          <w:rFonts w:hint="eastAsia" w:cs="宋体"/>
          <w:spacing w:val="5"/>
          <w:sz w:val="24"/>
          <w:szCs w:val="24"/>
          <w:lang w:val="en-US" w:eastAsia="zh-CN"/>
        </w:rPr>
        <w:t>效益</w:t>
      </w:r>
      <w:bookmarkStart w:id="0" w:name="_GoBack"/>
      <w:bookmarkEnd w:id="0"/>
      <w:r>
        <w:rPr>
          <w:rFonts w:ascii="宋体" w:hAnsi="宋体" w:eastAsia="宋体" w:cs="宋体"/>
          <w:spacing w:val="5"/>
          <w:sz w:val="24"/>
          <w:szCs w:val="24"/>
        </w:rPr>
        <w:t>费为核减金额的</w:t>
      </w:r>
      <w:r>
        <w:rPr>
          <w:rFonts w:ascii="宋体" w:hAnsi="宋体" w:eastAsia="宋体" w:cs="宋体"/>
          <w:spacing w:val="-91"/>
          <w:sz w:val="24"/>
          <w:szCs w:val="24"/>
        </w:rPr>
        <w:t xml:space="preserve"> </w:t>
      </w:r>
      <w:r>
        <w:rPr>
          <w:rFonts w:ascii="宋体" w:hAnsi="宋体" w:eastAsia="宋体" w:cs="宋体"/>
          <w:spacing w:val="5"/>
          <w:sz w:val="24"/>
          <w:szCs w:val="24"/>
          <w:u w:val="single" w:color="auto"/>
        </w:rPr>
        <w:t xml:space="preserve">     %</w:t>
      </w:r>
      <w:r>
        <w:rPr>
          <w:rFonts w:ascii="宋体" w:hAnsi="宋体" w:eastAsia="宋体" w:cs="宋体"/>
          <w:spacing w:val="5"/>
          <w:sz w:val="24"/>
          <w:szCs w:val="24"/>
        </w:rPr>
        <w:t>。</w:t>
      </w:r>
    </w:p>
    <w:p w14:paraId="7F952319">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206" w:firstLineChars="86"/>
        <w:jc w:val="left"/>
        <w:textAlignment w:val="auto"/>
        <w:rPr>
          <w:rFonts w:ascii="宋体" w:hAnsi="宋体" w:eastAsia="宋体" w:cs="宋体"/>
          <w:spacing w:val="10"/>
          <w:sz w:val="24"/>
          <w:szCs w:val="24"/>
        </w:rPr>
      </w:pPr>
      <w:r>
        <w:rPr>
          <w:rFonts w:ascii="宋体" w:hAnsi="宋体" w:eastAsia="宋体" w:cs="宋体"/>
          <w:position w:val="18"/>
          <w:sz w:val="24"/>
          <w:szCs w:val="24"/>
        </w:rPr>
        <w:t>(3)如按照最终审定结果确认的审核费用高于采购预</w:t>
      </w:r>
      <w:r>
        <w:rPr>
          <w:rFonts w:ascii="宋体" w:hAnsi="宋体" w:eastAsia="宋体" w:cs="宋体"/>
          <w:spacing w:val="-1"/>
          <w:position w:val="18"/>
          <w:sz w:val="24"/>
          <w:szCs w:val="24"/>
        </w:rPr>
        <w:t>算金额，采购人按预算</w:t>
      </w:r>
      <w:r>
        <w:rPr>
          <w:rFonts w:hint="eastAsia" w:ascii="宋体" w:hAnsi="宋体" w:eastAsia="宋体" w:cs="宋体"/>
          <w:spacing w:val="-1"/>
          <w:position w:val="18"/>
          <w:sz w:val="24"/>
          <w:szCs w:val="24"/>
          <w:lang w:val="en-US" w:eastAsia="zh-CN"/>
        </w:rPr>
        <w:t>金额（</w:t>
      </w:r>
      <w:r>
        <w:rPr>
          <w:rFonts w:hint="eastAsia" w:ascii="宋体" w:hAnsi="宋体" w:eastAsia="宋体" w:cs="宋体"/>
          <w:spacing w:val="-1"/>
          <w:position w:val="18"/>
          <w:sz w:val="24"/>
          <w:szCs w:val="24"/>
          <w:u w:val="single"/>
          <w:lang w:val="en-US" w:eastAsia="zh-CN"/>
        </w:rPr>
        <w:t xml:space="preserve">           </w:t>
      </w:r>
      <w:r>
        <w:rPr>
          <w:rFonts w:hint="eastAsia" w:ascii="宋体" w:hAnsi="宋体" w:eastAsia="宋体" w:cs="宋体"/>
          <w:spacing w:val="-1"/>
          <w:position w:val="18"/>
          <w:sz w:val="24"/>
          <w:szCs w:val="24"/>
          <w:lang w:val="en-US" w:eastAsia="zh-CN"/>
        </w:rPr>
        <w:t>元）支付，多出部分不予支付。</w:t>
      </w:r>
    </w:p>
    <w:p w14:paraId="2255C020">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3.乙方向甲方出具审核报告，甲方审查通过后，根据财政拨款情况支付审核服务费。</w:t>
      </w:r>
    </w:p>
    <w:p w14:paraId="1B35398D">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4.审核服务费通过银行转账方式支付给乙方，具体账户、开户行名称如下：</w:t>
      </w:r>
    </w:p>
    <w:p w14:paraId="3D8C93BE">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199" w:firstLineChars="86"/>
        <w:jc w:val="left"/>
        <w:textAlignment w:val="auto"/>
        <w:rPr>
          <w:rFonts w:ascii="宋体" w:hAnsi="宋体" w:eastAsia="宋体" w:cs="宋体"/>
          <w:spacing w:val="-4"/>
          <w:position w:val="17"/>
          <w:sz w:val="24"/>
          <w:szCs w:val="24"/>
        </w:rPr>
      </w:pPr>
      <w:r>
        <w:rPr>
          <w:rFonts w:ascii="宋体" w:hAnsi="宋体" w:eastAsia="宋体" w:cs="宋体"/>
          <w:spacing w:val="-4"/>
          <w:position w:val="17"/>
          <w:sz w:val="24"/>
          <w:szCs w:val="24"/>
        </w:rPr>
        <w:t>账户名称：</w:t>
      </w:r>
    </w:p>
    <w:p w14:paraId="46310CBA">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199" w:firstLineChars="86"/>
        <w:jc w:val="left"/>
        <w:textAlignment w:val="auto"/>
        <w:rPr>
          <w:rFonts w:ascii="宋体" w:hAnsi="宋体" w:eastAsia="宋体" w:cs="宋体"/>
          <w:sz w:val="24"/>
          <w:szCs w:val="24"/>
        </w:rPr>
      </w:pPr>
      <w:r>
        <w:rPr>
          <w:rFonts w:ascii="宋体" w:hAnsi="宋体" w:eastAsia="宋体" w:cs="宋体"/>
          <w:spacing w:val="-4"/>
          <w:position w:val="17"/>
          <w:sz w:val="24"/>
          <w:szCs w:val="24"/>
        </w:rPr>
        <w:t>开户银行全</w:t>
      </w:r>
      <w:r>
        <w:rPr>
          <w:rFonts w:ascii="宋体" w:hAnsi="宋体" w:eastAsia="宋体" w:cs="宋体"/>
          <w:spacing w:val="-12"/>
          <w:position w:val="17"/>
          <w:sz w:val="24"/>
          <w:szCs w:val="24"/>
        </w:rPr>
        <w:t>称：</w:t>
      </w:r>
    </w:p>
    <w:p w14:paraId="4F72D55A">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177" w:firstLineChars="86"/>
        <w:jc w:val="left"/>
        <w:textAlignment w:val="auto"/>
        <w:rPr>
          <w:rFonts w:ascii="宋体" w:hAnsi="宋体" w:eastAsia="宋体" w:cs="宋体"/>
          <w:sz w:val="24"/>
          <w:szCs w:val="24"/>
        </w:rPr>
      </w:pPr>
      <w:r>
        <w:rPr>
          <w:rFonts w:ascii="宋体" w:hAnsi="宋体" w:eastAsia="宋体" w:cs="宋体"/>
          <w:spacing w:val="-17"/>
          <w:sz w:val="24"/>
          <w:szCs w:val="24"/>
        </w:rPr>
        <w:t>账</w:t>
      </w:r>
      <w:r>
        <w:rPr>
          <w:rFonts w:ascii="宋体" w:hAnsi="宋体" w:eastAsia="宋体" w:cs="宋体"/>
          <w:spacing w:val="57"/>
          <w:sz w:val="24"/>
          <w:szCs w:val="24"/>
        </w:rPr>
        <w:t xml:space="preserve">  </w:t>
      </w:r>
      <w:r>
        <w:rPr>
          <w:rFonts w:ascii="宋体" w:hAnsi="宋体" w:eastAsia="宋体" w:cs="宋体"/>
          <w:spacing w:val="-17"/>
          <w:sz w:val="24"/>
          <w:szCs w:val="24"/>
        </w:rPr>
        <w:t>号：</w:t>
      </w:r>
    </w:p>
    <w:p w14:paraId="2A96EAD0">
      <w:pPr>
        <w:keepNext w:val="0"/>
        <w:keepLines w:val="0"/>
        <w:pageBreakBefore w:val="0"/>
        <w:widowControl w:val="0"/>
        <w:kinsoku/>
        <w:wordWrap/>
        <w:overflowPunct/>
        <w:topLinePunct w:val="0"/>
        <w:autoSpaceDE w:val="0"/>
        <w:autoSpaceDN w:val="0"/>
        <w:bidi w:val="0"/>
        <w:adjustRightInd/>
        <w:snapToGrid/>
        <w:spacing w:before="178" w:line="360" w:lineRule="auto"/>
        <w:ind w:left="440" w:leftChars="200"/>
        <w:jc w:val="left"/>
        <w:textAlignment w:val="auto"/>
        <w:outlineLvl w:val="6"/>
        <w:rPr>
          <w:rFonts w:ascii="宋体" w:hAnsi="宋体" w:eastAsia="宋体" w:cs="宋体"/>
          <w:sz w:val="24"/>
          <w:szCs w:val="24"/>
        </w:rPr>
      </w:pPr>
      <w:r>
        <w:rPr>
          <w:rFonts w:ascii="宋体" w:hAnsi="宋体" w:eastAsia="宋体" w:cs="宋体"/>
          <w:b/>
          <w:bCs/>
          <w:spacing w:val="-11"/>
          <w:sz w:val="24"/>
          <w:szCs w:val="24"/>
        </w:rPr>
        <w:t>二</w:t>
      </w:r>
      <w:r>
        <w:rPr>
          <w:rFonts w:ascii="宋体" w:hAnsi="宋体" w:eastAsia="宋体" w:cs="宋体"/>
          <w:spacing w:val="-24"/>
          <w:sz w:val="24"/>
          <w:szCs w:val="24"/>
        </w:rPr>
        <w:t xml:space="preserve"> </w:t>
      </w:r>
      <w:r>
        <w:rPr>
          <w:rFonts w:ascii="宋体" w:hAnsi="宋体" w:eastAsia="宋体" w:cs="宋体"/>
          <w:b/>
          <w:bCs/>
          <w:spacing w:val="-11"/>
          <w:sz w:val="24"/>
          <w:szCs w:val="24"/>
        </w:rPr>
        <w:t>、权力、义务的履行和责任的承担</w:t>
      </w:r>
    </w:p>
    <w:p w14:paraId="286A28F1">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1.乙方及其派出人员过错导致审核结论错误，或因乙方及其派出人员未严格 执行审核实施方案，影响审核工作进度，未完成工作任务，造成严重后果的，甲 方有权终止合同，并拒付或扣减审核服务费，同时根据需要移送主管部门处理；涉嫌犯罪的，移送司法机关追究刑事责任。</w:t>
      </w:r>
    </w:p>
    <w:p w14:paraId="65DDA94C">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2.乙方收到审核业务委托书后，要编写审核实施方案，选派符合要求的审核人员。并做好派出人员的组织管理工作，在本协议履行期间不得随意更换派出人</w:t>
      </w:r>
      <w:r>
        <w:rPr>
          <w:rFonts w:hint="eastAsia" w:ascii="宋体" w:hAnsi="宋体" w:eastAsia="宋体" w:cs="宋体"/>
          <w:spacing w:val="-4"/>
          <w:sz w:val="24"/>
          <w:szCs w:val="24"/>
        </w:rPr>
        <w:t>员</w:t>
      </w:r>
      <w:r>
        <w:rPr>
          <w:rFonts w:ascii="宋体" w:hAnsi="宋体" w:eastAsia="宋体" w:cs="宋体"/>
          <w:spacing w:val="-4"/>
          <w:sz w:val="24"/>
          <w:szCs w:val="24"/>
        </w:rPr>
        <w:t>。</w:t>
      </w:r>
    </w:p>
    <w:p w14:paraId="69A60D1B">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3.乙方及其派出人员在审核实施中，接受甲方的管理指导、质量监督和验收考评，严格按照国家审核程序和审核实施方案确定的审核范围、内容、时间及分工实施并完成审核任务，服从甲方的工作安排。</w:t>
      </w:r>
    </w:p>
    <w:p w14:paraId="61108402">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4.乙方派出人员在审核实施中要执行《中华人民共和国国家审计准则》和约 定的质量标准及要求(如编制审核工作底稿、审核取证单、审核工作记录等),保证相关审核资料的真实、完整、合法。</w:t>
      </w:r>
    </w:p>
    <w:p w14:paraId="623570F3">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5.乙方派出人员要全面、真实地反映分工事项的审核结果，发现违法违纪问题应及时向审核组组长汇报，不得隐瞒。</w:t>
      </w:r>
    </w:p>
    <w:p w14:paraId="29B529BC">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6.乙方派出人员要配合审核组组长编写审核报告，被审核对象对审核报告有异议的，乙方对承办事项及其工作结果要协助审核组长研究答复处置意见。</w:t>
      </w:r>
    </w:p>
    <w:p w14:paraId="19BE26CE">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hint="default" w:ascii="宋体" w:hAnsi="宋体" w:eastAsia="宋体" w:cs="宋体"/>
          <w:spacing w:val="-4"/>
          <w:sz w:val="24"/>
          <w:szCs w:val="24"/>
          <w:lang w:val="en-US" w:eastAsia="zh-CN"/>
        </w:rPr>
      </w:pPr>
      <w:r>
        <w:rPr>
          <w:rFonts w:ascii="宋体" w:hAnsi="宋体" w:eastAsia="宋体" w:cs="宋体"/>
          <w:spacing w:val="-4"/>
          <w:sz w:val="24"/>
          <w:szCs w:val="24"/>
        </w:rPr>
        <w:t>7.乙方必须就审核实施方案确定的审核事项向甲方提交内容一致的审核</w:t>
      </w:r>
      <w:r>
        <w:rPr>
          <w:rFonts w:hint="eastAsia" w:ascii="宋体" w:hAnsi="宋体" w:eastAsia="宋体" w:cs="宋体"/>
          <w:spacing w:val="-4"/>
          <w:sz w:val="24"/>
          <w:szCs w:val="24"/>
          <w:lang w:val="en-US" w:eastAsia="zh-CN"/>
        </w:rPr>
        <w:t>报告。</w:t>
      </w:r>
    </w:p>
    <w:p w14:paraId="3EE51888">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8.乙方派出人员在审核期间要遵守审核机关审核纪律、廉政纪律，对涉及的国家秘密、商业秘密和审核工作秘密负有保密责任。</w:t>
      </w:r>
    </w:p>
    <w:p w14:paraId="6E0513CD">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9.乙方派出人员要在现场审核结束时，将审核实施中形成的全部资料及时移 交审核组组长复核，并按要求及时补充改正。出具审核报告时，将审核资料(审 核工作底稿、审核取证单、审核工作记录等)一并移交审核组归档。由乙方担任审核工作主体的审核资料由乙方归档。</w:t>
      </w:r>
    </w:p>
    <w:p w14:paraId="63DFF424">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10.乙方对承办事项及工作结果有义务参加甲方组织的听证、复议、裁决或诉讼等工作，负责相关审核事项的解释、答疑和澄清。</w:t>
      </w:r>
    </w:p>
    <w:p w14:paraId="4D161DD8">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11.存在应当回避情形时，乙方及其派出人员应当主动告知甲方，并予以回避。</w:t>
      </w:r>
    </w:p>
    <w:p w14:paraId="766417C9">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12.乙方及其派出人员在审核中不得以甲方及其人员名义从事与聘用审核事项无关的活动。</w:t>
      </w:r>
    </w:p>
    <w:p w14:paraId="1DE54771">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13.乙方及其派出人员不得使用委托审核事项的审核资料和结果，用于与审核事项无关的目的。</w:t>
      </w:r>
    </w:p>
    <w:p w14:paraId="562CC96C">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14.乙方不得将审核事项转包、分包给任何第三方实施完成。</w:t>
      </w:r>
    </w:p>
    <w:p w14:paraId="453F6791">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15.乙方对审核结果的真实性、合法性负责，对出具的审核报告，独立承担法律责任。</w:t>
      </w:r>
    </w:p>
    <w:p w14:paraId="17BAA119">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16.接受甲方按照相关规定对乙方进行管理和考核。</w:t>
      </w:r>
    </w:p>
    <w:p w14:paraId="2B24F149">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17.乙方在审核业务委托有效期内，如因非乙方的责任造成进度的推迟或延误而超过约定的日期，双方应进一步约定相应延长有效期。</w:t>
      </w:r>
    </w:p>
    <w:p w14:paraId="12F9B53E">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18.乙方应当履行委托中约定的义务，因乙方的单方过失造成的经济损失，应当进行赔偿。</w:t>
      </w:r>
    </w:p>
    <w:p w14:paraId="0C21884C">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19.乙方对甲方或被审核单位所提出的问题不能及时核实或答复，导致审核业务委托合同不能全部或部分履行，乙方应承担责任。</w:t>
      </w:r>
    </w:p>
    <w:p w14:paraId="6FE13FD0">
      <w:pPr>
        <w:keepNext w:val="0"/>
        <w:keepLines w:val="0"/>
        <w:pageBreakBefore w:val="0"/>
        <w:widowControl w:val="0"/>
        <w:kinsoku/>
        <w:wordWrap/>
        <w:overflowPunct/>
        <w:topLinePunct w:val="0"/>
        <w:autoSpaceDE w:val="0"/>
        <w:autoSpaceDN w:val="0"/>
        <w:bidi w:val="0"/>
        <w:adjustRightInd/>
        <w:snapToGrid/>
        <w:spacing w:line="360" w:lineRule="auto"/>
        <w:ind w:left="440" w:leftChars="200" w:right="0" w:firstLine="490"/>
        <w:jc w:val="left"/>
        <w:textAlignment w:val="auto"/>
        <w:rPr>
          <w:rFonts w:ascii="宋体" w:hAnsi="宋体" w:eastAsia="宋体" w:cs="宋体"/>
          <w:spacing w:val="-4"/>
          <w:sz w:val="24"/>
          <w:szCs w:val="24"/>
        </w:rPr>
      </w:pPr>
      <w:r>
        <w:rPr>
          <w:rFonts w:ascii="宋体" w:hAnsi="宋体" w:eastAsia="宋体" w:cs="宋体"/>
          <w:spacing w:val="-4"/>
          <w:sz w:val="24"/>
          <w:szCs w:val="24"/>
        </w:rPr>
        <w:t>20.乙方要做好相关财会、业务审核资料的保管工作，对因乙方单方过失造成的损毁、遗失，一切后果由乙方负责。</w:t>
      </w:r>
    </w:p>
    <w:p w14:paraId="5700AC3F">
      <w:pPr>
        <w:keepNext w:val="0"/>
        <w:keepLines w:val="0"/>
        <w:pageBreakBefore w:val="0"/>
        <w:widowControl w:val="0"/>
        <w:kinsoku/>
        <w:wordWrap/>
        <w:overflowPunct/>
        <w:topLinePunct w:val="0"/>
        <w:autoSpaceDE w:val="0"/>
        <w:autoSpaceDN w:val="0"/>
        <w:bidi w:val="0"/>
        <w:adjustRightInd/>
        <w:snapToGrid/>
        <w:spacing w:before="172" w:line="360" w:lineRule="auto"/>
        <w:ind w:left="440" w:leftChars="200"/>
        <w:jc w:val="left"/>
        <w:textAlignment w:val="auto"/>
        <w:outlineLvl w:val="6"/>
        <w:rPr>
          <w:rFonts w:ascii="宋体" w:hAnsi="宋体" w:eastAsia="宋体" w:cs="宋体"/>
          <w:sz w:val="24"/>
          <w:szCs w:val="24"/>
        </w:rPr>
      </w:pPr>
      <w:r>
        <w:rPr>
          <w:rFonts w:ascii="宋体" w:hAnsi="宋体" w:eastAsia="宋体" w:cs="宋体"/>
          <w:b/>
          <w:bCs/>
          <w:spacing w:val="-11"/>
          <w:sz w:val="24"/>
          <w:szCs w:val="24"/>
        </w:rPr>
        <w:t>三、管控条款</w:t>
      </w:r>
    </w:p>
    <w:p w14:paraId="3E1E28C5">
      <w:pPr>
        <w:keepNext w:val="0"/>
        <w:keepLines w:val="0"/>
        <w:pageBreakBefore w:val="0"/>
        <w:widowControl w:val="0"/>
        <w:kinsoku/>
        <w:wordWrap/>
        <w:overflowPunct/>
        <w:topLinePunct w:val="0"/>
        <w:autoSpaceDE w:val="0"/>
        <w:autoSpaceDN w:val="0"/>
        <w:bidi w:val="0"/>
        <w:adjustRightInd/>
        <w:snapToGrid/>
        <w:spacing w:before="177" w:line="360" w:lineRule="auto"/>
        <w:ind w:left="440" w:leftChars="200" w:right="24" w:firstLine="460"/>
        <w:jc w:val="left"/>
        <w:textAlignment w:val="auto"/>
        <w:rPr>
          <w:rFonts w:ascii="宋体" w:hAnsi="宋体" w:eastAsia="宋体" w:cs="宋体"/>
          <w:sz w:val="24"/>
          <w:szCs w:val="24"/>
        </w:rPr>
      </w:pPr>
      <w:r>
        <w:rPr>
          <w:rFonts w:ascii="宋体" w:hAnsi="宋体" w:eastAsia="宋体" w:cs="宋体"/>
          <w:spacing w:val="-4"/>
          <w:sz w:val="24"/>
          <w:szCs w:val="24"/>
        </w:rPr>
        <w:t>1.对于乙方出现因其自身原因导致未能按实施方案完成审核工作</w:t>
      </w:r>
      <w:r>
        <w:rPr>
          <w:rFonts w:ascii="宋体" w:hAnsi="宋体" w:eastAsia="宋体" w:cs="宋体"/>
          <w:spacing w:val="-5"/>
          <w:sz w:val="24"/>
          <w:szCs w:val="24"/>
        </w:rPr>
        <w:t>，后勤保障</w:t>
      </w:r>
      <w:r>
        <w:rPr>
          <w:rFonts w:ascii="宋体" w:hAnsi="宋体" w:eastAsia="宋体" w:cs="宋体"/>
          <w:sz w:val="24"/>
          <w:szCs w:val="24"/>
        </w:rPr>
        <w:t xml:space="preserve"> </w:t>
      </w:r>
      <w:r>
        <w:rPr>
          <w:rFonts w:ascii="宋体" w:hAnsi="宋体" w:eastAsia="宋体" w:cs="宋体"/>
          <w:spacing w:val="-3"/>
          <w:sz w:val="24"/>
          <w:szCs w:val="24"/>
        </w:rPr>
        <w:t>不到位，审核取证不全面不完整，审核质量不高，与建设单位、</w:t>
      </w:r>
      <w:r>
        <w:rPr>
          <w:rFonts w:ascii="宋体" w:hAnsi="宋体" w:eastAsia="宋体" w:cs="宋体"/>
          <w:spacing w:val="-4"/>
          <w:sz w:val="24"/>
          <w:szCs w:val="24"/>
        </w:rPr>
        <w:t>施工单位私下接</w:t>
      </w:r>
      <w:r>
        <w:rPr>
          <w:rFonts w:ascii="宋体" w:hAnsi="宋体" w:eastAsia="宋体" w:cs="宋体"/>
          <w:spacing w:val="2"/>
          <w:sz w:val="24"/>
          <w:szCs w:val="24"/>
        </w:rPr>
        <w:t>触等违反工作纪律的情况，甲方对其审核服务费进行5%至20%的扣减。</w:t>
      </w:r>
    </w:p>
    <w:p w14:paraId="1FF11D7D">
      <w:pPr>
        <w:keepNext w:val="0"/>
        <w:keepLines w:val="0"/>
        <w:pageBreakBefore w:val="0"/>
        <w:widowControl w:val="0"/>
        <w:kinsoku/>
        <w:wordWrap/>
        <w:overflowPunct/>
        <w:topLinePunct w:val="0"/>
        <w:autoSpaceDE w:val="0"/>
        <w:autoSpaceDN w:val="0"/>
        <w:bidi w:val="0"/>
        <w:adjustRightInd/>
        <w:snapToGrid/>
        <w:spacing w:before="177" w:line="360" w:lineRule="auto"/>
        <w:ind w:left="440" w:leftChars="200" w:right="24" w:firstLine="460"/>
        <w:jc w:val="left"/>
        <w:textAlignment w:val="auto"/>
        <w:rPr>
          <w:rFonts w:ascii="宋体" w:hAnsi="宋体" w:eastAsia="宋体" w:cs="宋体"/>
          <w:spacing w:val="-4"/>
          <w:sz w:val="24"/>
          <w:szCs w:val="24"/>
        </w:rPr>
      </w:pPr>
      <w:r>
        <w:rPr>
          <w:rFonts w:ascii="宋体" w:hAnsi="宋体" w:eastAsia="宋体" w:cs="宋体"/>
          <w:spacing w:val="-4"/>
          <w:sz w:val="24"/>
          <w:szCs w:val="24"/>
        </w:rPr>
        <w:t>2.对于因乙方算量算价失误出现审核结论错误造成财政资金损失的情况，甲方对其审核服务费对应造成的损失进行相应扣减直至扣完为止。</w:t>
      </w:r>
    </w:p>
    <w:p w14:paraId="0C6C2AD0">
      <w:pPr>
        <w:keepNext w:val="0"/>
        <w:keepLines w:val="0"/>
        <w:pageBreakBefore w:val="0"/>
        <w:widowControl w:val="0"/>
        <w:kinsoku/>
        <w:wordWrap/>
        <w:overflowPunct/>
        <w:topLinePunct w:val="0"/>
        <w:autoSpaceDE w:val="0"/>
        <w:autoSpaceDN w:val="0"/>
        <w:bidi w:val="0"/>
        <w:adjustRightInd/>
        <w:snapToGrid/>
        <w:spacing w:before="191" w:line="360" w:lineRule="auto"/>
        <w:ind w:left="440" w:leftChars="200"/>
        <w:jc w:val="left"/>
        <w:textAlignment w:val="auto"/>
        <w:outlineLvl w:val="6"/>
        <w:rPr>
          <w:rFonts w:ascii="宋体" w:hAnsi="宋体" w:eastAsia="宋体" w:cs="宋体"/>
          <w:sz w:val="24"/>
          <w:szCs w:val="24"/>
        </w:rPr>
      </w:pPr>
      <w:r>
        <w:rPr>
          <w:rFonts w:ascii="宋体" w:hAnsi="宋体" w:eastAsia="宋体" w:cs="宋体"/>
          <w:b/>
          <w:bCs/>
          <w:spacing w:val="-14"/>
          <w:sz w:val="24"/>
          <w:szCs w:val="24"/>
        </w:rPr>
        <w:t>四、</w:t>
      </w:r>
      <w:r>
        <w:rPr>
          <w:rFonts w:ascii="宋体" w:hAnsi="宋体" w:eastAsia="宋体" w:cs="宋体"/>
          <w:spacing w:val="-60"/>
          <w:sz w:val="24"/>
          <w:szCs w:val="24"/>
        </w:rPr>
        <w:t xml:space="preserve"> </w:t>
      </w:r>
      <w:r>
        <w:rPr>
          <w:rFonts w:ascii="宋体" w:hAnsi="宋体" w:eastAsia="宋体" w:cs="宋体"/>
          <w:b/>
          <w:bCs/>
          <w:spacing w:val="-14"/>
          <w:sz w:val="24"/>
          <w:szCs w:val="24"/>
        </w:rPr>
        <w:t>约定书的有效期间</w:t>
      </w:r>
    </w:p>
    <w:p w14:paraId="7BEFA70F">
      <w:pPr>
        <w:keepNext w:val="0"/>
        <w:keepLines w:val="0"/>
        <w:pageBreakBefore w:val="0"/>
        <w:widowControl w:val="0"/>
        <w:kinsoku/>
        <w:wordWrap/>
        <w:overflowPunct/>
        <w:topLinePunct w:val="0"/>
        <w:autoSpaceDE w:val="0"/>
        <w:autoSpaceDN w:val="0"/>
        <w:bidi w:val="0"/>
        <w:adjustRightInd/>
        <w:snapToGrid/>
        <w:spacing w:before="189" w:line="360" w:lineRule="auto"/>
        <w:ind w:left="440" w:leftChars="200"/>
        <w:jc w:val="left"/>
        <w:textAlignment w:val="auto"/>
        <w:rPr>
          <w:rFonts w:ascii="宋体" w:hAnsi="宋体" w:eastAsia="宋体" w:cs="宋体"/>
          <w:sz w:val="24"/>
          <w:szCs w:val="24"/>
        </w:rPr>
      </w:pPr>
      <w:r>
        <w:rPr>
          <w:rFonts w:ascii="宋体" w:hAnsi="宋体" w:eastAsia="宋体" w:cs="宋体"/>
          <w:spacing w:val="-1"/>
          <w:position w:val="17"/>
          <w:sz w:val="24"/>
          <w:szCs w:val="24"/>
        </w:rPr>
        <w:t>本约定书一式四份，甲方二份，乙方一份，招标代理机构一份。</w:t>
      </w:r>
    </w:p>
    <w:p w14:paraId="2C4FB22A">
      <w:pPr>
        <w:keepNext w:val="0"/>
        <w:keepLines w:val="0"/>
        <w:pageBreakBefore w:val="0"/>
        <w:widowControl w:val="0"/>
        <w:kinsoku/>
        <w:wordWrap/>
        <w:overflowPunct/>
        <w:topLinePunct w:val="0"/>
        <w:autoSpaceDE w:val="0"/>
        <w:autoSpaceDN w:val="0"/>
        <w:bidi w:val="0"/>
        <w:adjustRightInd/>
        <w:snapToGrid/>
        <w:spacing w:before="1" w:line="360" w:lineRule="auto"/>
        <w:ind w:left="440" w:leftChars="200"/>
        <w:jc w:val="left"/>
        <w:textAlignment w:val="auto"/>
        <w:rPr>
          <w:rFonts w:ascii="宋体" w:hAnsi="宋体" w:eastAsia="宋体" w:cs="宋体"/>
          <w:sz w:val="24"/>
          <w:szCs w:val="24"/>
        </w:rPr>
      </w:pPr>
      <w:r>
        <w:rPr>
          <w:rFonts w:ascii="宋体" w:hAnsi="宋体" w:eastAsia="宋体" w:cs="宋体"/>
          <w:spacing w:val="-3"/>
          <w:sz w:val="24"/>
          <w:szCs w:val="24"/>
        </w:rPr>
        <w:t>本约定书自双方签字盖章之日起生效。</w:t>
      </w:r>
    </w:p>
    <w:p w14:paraId="0644CE37">
      <w:pPr>
        <w:spacing w:line="360" w:lineRule="auto"/>
        <w:ind w:left="444" w:leftChars="202"/>
      </w:pPr>
    </w:p>
    <w:tbl>
      <w:tblPr>
        <w:tblStyle w:val="3"/>
        <w:tblW w:w="8939" w:type="dxa"/>
        <w:tblInd w:w="0" w:type="dxa"/>
        <w:tblLayout w:type="autofit"/>
        <w:tblCellMar>
          <w:top w:w="0" w:type="dxa"/>
          <w:left w:w="108" w:type="dxa"/>
          <w:bottom w:w="0" w:type="dxa"/>
          <w:right w:w="108" w:type="dxa"/>
        </w:tblCellMar>
      </w:tblPr>
      <w:tblGrid>
        <w:gridCol w:w="4469"/>
        <w:gridCol w:w="4470"/>
      </w:tblGrid>
      <w:tr w14:paraId="41525572">
        <w:tblPrEx>
          <w:tblCellMar>
            <w:top w:w="0" w:type="dxa"/>
            <w:left w:w="108" w:type="dxa"/>
            <w:bottom w:w="0" w:type="dxa"/>
            <w:right w:w="108" w:type="dxa"/>
          </w:tblCellMar>
        </w:tblPrEx>
        <w:trPr>
          <w:trHeight w:val="457" w:hRule="atLeast"/>
        </w:trPr>
        <w:tc>
          <w:tcPr>
            <w:tcW w:w="4469" w:type="dxa"/>
            <w:noWrap w:val="0"/>
            <w:vAlign w:val="bottom"/>
          </w:tcPr>
          <w:p w14:paraId="155112CF">
            <w:pPr>
              <w:tabs>
                <w:tab w:val="left" w:pos="980"/>
              </w:tabs>
              <w:kinsoku w:val="0"/>
              <w:spacing w:line="460" w:lineRule="atLeast"/>
              <w:rPr>
                <w:sz w:val="24"/>
              </w:rPr>
            </w:pPr>
            <w:r>
              <w:rPr>
                <w:rFonts w:hint="eastAsia"/>
                <w:sz w:val="24"/>
                <w:lang w:val="en-US"/>
              </w:rPr>
              <w:t>招标人</w:t>
            </w:r>
            <w:r>
              <w:rPr>
                <w:rFonts w:hint="eastAsia"/>
                <w:sz w:val="24"/>
              </w:rPr>
              <w:t>：</w:t>
            </w:r>
            <w:r>
              <w:rPr>
                <w:rFonts w:hint="eastAsia"/>
                <w:sz w:val="24"/>
                <w:u w:val="single"/>
              </w:rPr>
              <w:t xml:space="preserve">   （盖章）     </w:t>
            </w:r>
          </w:p>
        </w:tc>
        <w:tc>
          <w:tcPr>
            <w:tcW w:w="4470" w:type="dxa"/>
            <w:noWrap w:val="0"/>
            <w:vAlign w:val="bottom"/>
          </w:tcPr>
          <w:p w14:paraId="562C8FFC">
            <w:pPr>
              <w:tabs>
                <w:tab w:val="left" w:pos="980"/>
              </w:tabs>
              <w:kinsoku w:val="0"/>
              <w:spacing w:line="460" w:lineRule="atLeast"/>
              <w:rPr>
                <w:sz w:val="24"/>
              </w:rPr>
            </w:pPr>
            <w:r>
              <w:rPr>
                <w:rFonts w:hint="eastAsia"/>
                <w:sz w:val="24"/>
                <w:lang w:val="en-US"/>
              </w:rPr>
              <w:t>投标人</w:t>
            </w:r>
            <w:r>
              <w:rPr>
                <w:rFonts w:hint="eastAsia"/>
                <w:sz w:val="24"/>
              </w:rPr>
              <w:t>：</w:t>
            </w:r>
            <w:r>
              <w:rPr>
                <w:rFonts w:hint="eastAsia"/>
                <w:sz w:val="24"/>
                <w:u w:val="single"/>
              </w:rPr>
              <w:t xml:space="preserve">   （盖章）     </w:t>
            </w:r>
          </w:p>
        </w:tc>
      </w:tr>
      <w:tr w14:paraId="6A01BB8A">
        <w:tblPrEx>
          <w:tblCellMar>
            <w:top w:w="0" w:type="dxa"/>
            <w:left w:w="108" w:type="dxa"/>
            <w:bottom w:w="0" w:type="dxa"/>
            <w:right w:w="108" w:type="dxa"/>
          </w:tblCellMar>
        </w:tblPrEx>
        <w:trPr>
          <w:trHeight w:val="457" w:hRule="atLeast"/>
        </w:trPr>
        <w:tc>
          <w:tcPr>
            <w:tcW w:w="4469" w:type="dxa"/>
            <w:noWrap w:val="0"/>
            <w:vAlign w:val="bottom"/>
          </w:tcPr>
          <w:p w14:paraId="778A5E4D">
            <w:pPr>
              <w:tabs>
                <w:tab w:val="left" w:pos="980"/>
              </w:tabs>
              <w:kinsoku w:val="0"/>
              <w:spacing w:line="460" w:lineRule="atLeast"/>
              <w:rPr>
                <w:sz w:val="24"/>
              </w:rPr>
            </w:pPr>
            <w:r>
              <w:rPr>
                <w:rFonts w:hint="eastAsia"/>
                <w:sz w:val="24"/>
              </w:rPr>
              <w:t xml:space="preserve">地址： </w:t>
            </w:r>
            <w:r>
              <w:rPr>
                <w:rFonts w:hint="eastAsia"/>
                <w:sz w:val="24"/>
                <w:u w:val="single"/>
              </w:rPr>
              <w:t xml:space="preserve">                   </w:t>
            </w:r>
          </w:p>
        </w:tc>
        <w:tc>
          <w:tcPr>
            <w:tcW w:w="4470" w:type="dxa"/>
            <w:noWrap w:val="0"/>
            <w:vAlign w:val="bottom"/>
          </w:tcPr>
          <w:p w14:paraId="755D2BBC">
            <w:pPr>
              <w:tabs>
                <w:tab w:val="left" w:pos="980"/>
              </w:tabs>
              <w:kinsoku w:val="0"/>
              <w:spacing w:line="460" w:lineRule="atLeast"/>
              <w:rPr>
                <w:sz w:val="24"/>
              </w:rPr>
            </w:pPr>
            <w:r>
              <w:rPr>
                <w:rFonts w:hint="eastAsia"/>
                <w:sz w:val="24"/>
              </w:rPr>
              <w:t xml:space="preserve">地址： </w:t>
            </w:r>
            <w:r>
              <w:rPr>
                <w:rFonts w:hint="eastAsia"/>
                <w:sz w:val="24"/>
                <w:u w:val="single"/>
              </w:rPr>
              <w:t xml:space="preserve">                   </w:t>
            </w:r>
          </w:p>
        </w:tc>
      </w:tr>
      <w:tr w14:paraId="4BE300B1">
        <w:tblPrEx>
          <w:tblCellMar>
            <w:top w:w="0" w:type="dxa"/>
            <w:left w:w="108" w:type="dxa"/>
            <w:bottom w:w="0" w:type="dxa"/>
            <w:right w:w="108" w:type="dxa"/>
          </w:tblCellMar>
        </w:tblPrEx>
        <w:trPr>
          <w:trHeight w:val="457" w:hRule="atLeast"/>
        </w:trPr>
        <w:tc>
          <w:tcPr>
            <w:tcW w:w="4469" w:type="dxa"/>
            <w:noWrap w:val="0"/>
            <w:vAlign w:val="bottom"/>
          </w:tcPr>
          <w:p w14:paraId="59E36297">
            <w:pPr>
              <w:tabs>
                <w:tab w:val="left" w:pos="980"/>
              </w:tabs>
              <w:kinsoku w:val="0"/>
              <w:spacing w:line="460" w:lineRule="atLeast"/>
              <w:rPr>
                <w:sz w:val="24"/>
              </w:rPr>
            </w:pPr>
            <w:r>
              <w:rPr>
                <w:rFonts w:hint="eastAsia"/>
                <w:sz w:val="24"/>
              </w:rPr>
              <w:t>邮政编码：</w:t>
            </w:r>
            <w:r>
              <w:rPr>
                <w:rFonts w:hint="eastAsia"/>
                <w:sz w:val="24"/>
                <w:u w:val="single"/>
              </w:rPr>
              <w:t xml:space="preserve">                 </w:t>
            </w:r>
          </w:p>
        </w:tc>
        <w:tc>
          <w:tcPr>
            <w:tcW w:w="4470" w:type="dxa"/>
            <w:noWrap w:val="0"/>
            <w:vAlign w:val="bottom"/>
          </w:tcPr>
          <w:p w14:paraId="67041EE5">
            <w:pPr>
              <w:tabs>
                <w:tab w:val="left" w:pos="980"/>
              </w:tabs>
              <w:kinsoku w:val="0"/>
              <w:spacing w:line="460" w:lineRule="atLeast"/>
              <w:rPr>
                <w:sz w:val="24"/>
              </w:rPr>
            </w:pPr>
            <w:r>
              <w:rPr>
                <w:rFonts w:hint="eastAsia"/>
                <w:sz w:val="24"/>
              </w:rPr>
              <w:t>邮政编码：</w:t>
            </w:r>
            <w:r>
              <w:rPr>
                <w:rFonts w:hint="eastAsia"/>
                <w:sz w:val="24"/>
                <w:u w:val="single"/>
              </w:rPr>
              <w:t xml:space="preserve">                 </w:t>
            </w:r>
          </w:p>
        </w:tc>
      </w:tr>
      <w:tr w14:paraId="509E82CD">
        <w:tblPrEx>
          <w:tblCellMar>
            <w:top w:w="0" w:type="dxa"/>
            <w:left w:w="108" w:type="dxa"/>
            <w:bottom w:w="0" w:type="dxa"/>
            <w:right w:w="108" w:type="dxa"/>
          </w:tblCellMar>
        </w:tblPrEx>
        <w:trPr>
          <w:trHeight w:val="914" w:hRule="atLeast"/>
        </w:trPr>
        <w:tc>
          <w:tcPr>
            <w:tcW w:w="4469" w:type="dxa"/>
            <w:noWrap w:val="0"/>
            <w:vAlign w:val="bottom"/>
          </w:tcPr>
          <w:p w14:paraId="6FED5187">
            <w:pPr>
              <w:tabs>
                <w:tab w:val="left" w:pos="980"/>
              </w:tabs>
              <w:kinsoku w:val="0"/>
              <w:spacing w:line="460" w:lineRule="atLeast"/>
              <w:rPr>
                <w:sz w:val="24"/>
              </w:rPr>
            </w:pPr>
            <w:r>
              <w:rPr>
                <w:rFonts w:hint="eastAsia"/>
                <w:sz w:val="24"/>
              </w:rPr>
              <w:t>法定代表人或其授权的代理人：</w:t>
            </w:r>
            <w:r>
              <w:rPr>
                <w:rFonts w:hint="eastAsia"/>
                <w:sz w:val="24"/>
                <w:u w:val="single"/>
              </w:rPr>
              <w:t xml:space="preserve">（签字）      </w:t>
            </w:r>
          </w:p>
        </w:tc>
        <w:tc>
          <w:tcPr>
            <w:tcW w:w="4470" w:type="dxa"/>
            <w:noWrap w:val="0"/>
            <w:vAlign w:val="bottom"/>
          </w:tcPr>
          <w:p w14:paraId="59AF015D">
            <w:pPr>
              <w:tabs>
                <w:tab w:val="left" w:pos="980"/>
              </w:tabs>
              <w:kinsoku w:val="0"/>
              <w:spacing w:line="460" w:lineRule="atLeast"/>
              <w:rPr>
                <w:sz w:val="24"/>
              </w:rPr>
            </w:pPr>
            <w:r>
              <w:rPr>
                <w:rFonts w:hint="eastAsia"/>
                <w:sz w:val="24"/>
              </w:rPr>
              <w:t>法定代表人或其授权的代理人：</w:t>
            </w:r>
            <w:r>
              <w:rPr>
                <w:rFonts w:hint="eastAsia"/>
                <w:sz w:val="24"/>
                <w:u w:val="single"/>
              </w:rPr>
              <w:t xml:space="preserve">（签字）      </w:t>
            </w:r>
          </w:p>
        </w:tc>
      </w:tr>
      <w:tr w14:paraId="3A57EE9A">
        <w:tblPrEx>
          <w:tblCellMar>
            <w:top w:w="0" w:type="dxa"/>
            <w:left w:w="108" w:type="dxa"/>
            <w:bottom w:w="0" w:type="dxa"/>
            <w:right w:w="108" w:type="dxa"/>
          </w:tblCellMar>
        </w:tblPrEx>
        <w:trPr>
          <w:trHeight w:val="457" w:hRule="atLeast"/>
        </w:trPr>
        <w:tc>
          <w:tcPr>
            <w:tcW w:w="4469" w:type="dxa"/>
            <w:noWrap w:val="0"/>
            <w:vAlign w:val="bottom"/>
          </w:tcPr>
          <w:p w14:paraId="3002B76B">
            <w:pPr>
              <w:tabs>
                <w:tab w:val="left" w:pos="980"/>
              </w:tabs>
              <w:kinsoku w:val="0"/>
              <w:spacing w:line="460" w:lineRule="atLeast"/>
              <w:rPr>
                <w:sz w:val="24"/>
              </w:rPr>
            </w:pPr>
            <w:r>
              <w:rPr>
                <w:rFonts w:hint="eastAsia"/>
                <w:sz w:val="24"/>
              </w:rPr>
              <w:t>签订日期：</w:t>
            </w:r>
            <w:r>
              <w:rPr>
                <w:rFonts w:hint="eastAsia"/>
                <w:sz w:val="24"/>
                <w:u w:val="single"/>
              </w:rPr>
              <w:t xml:space="preserve">                   </w:t>
            </w:r>
          </w:p>
        </w:tc>
        <w:tc>
          <w:tcPr>
            <w:tcW w:w="4470" w:type="dxa"/>
            <w:noWrap w:val="0"/>
            <w:vAlign w:val="bottom"/>
          </w:tcPr>
          <w:p w14:paraId="2DA513DC">
            <w:pPr>
              <w:tabs>
                <w:tab w:val="left" w:pos="980"/>
              </w:tabs>
              <w:kinsoku w:val="0"/>
              <w:spacing w:line="460" w:lineRule="atLeast"/>
              <w:rPr>
                <w:sz w:val="24"/>
              </w:rPr>
            </w:pPr>
            <w:r>
              <w:rPr>
                <w:rFonts w:hint="eastAsia"/>
                <w:sz w:val="24"/>
              </w:rPr>
              <w:t>签订日期：</w:t>
            </w:r>
            <w:r>
              <w:rPr>
                <w:rFonts w:hint="eastAsia"/>
                <w:sz w:val="24"/>
                <w:u w:val="single"/>
              </w:rPr>
              <w:t xml:space="preserve">                   </w:t>
            </w:r>
          </w:p>
        </w:tc>
      </w:tr>
    </w:tbl>
    <w:p w14:paraId="60C22631"/>
    <w:p w14:paraId="163E1674"/>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24845">
    <w:pPr>
      <w:pStyle w:val="2"/>
      <w:jc w:val="center"/>
    </w:pPr>
    <w:r>
      <w:rPr>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100140">
                          <w:pPr>
                            <w:pStyle w:val="2"/>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42100140">
                    <w:pPr>
                      <w:pStyle w:val="2"/>
                    </w:pPr>
                    <w:r>
                      <w:fldChar w:fldCharType="begin"/>
                    </w:r>
                    <w:r>
                      <w:instrText xml:space="preserve"> PAGE  \* MERGEFORMAT </w:instrText>
                    </w:r>
                    <w:r>
                      <w:fldChar w:fldCharType="separate"/>
                    </w:r>
                    <w:r>
                      <w:t>29</w:t>
                    </w:r>
                    <w:r>
                      <w:fldChar w:fldCharType="end"/>
                    </w:r>
                  </w:p>
                </w:txbxContent>
              </v:textbox>
            </v:shape>
          </w:pict>
        </mc:Fallback>
      </mc:AlternateContent>
    </w:r>
  </w:p>
  <w:p w14:paraId="4D1CE2A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3491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2025-07-10T11:31:48Z</dcterms:created>
  <dc:creator>w</dc:creator>
  <cp:lastModifiedBy>vat_charming</cp:lastModifiedBy>
  <dcterms:modified xsi:type="dcterms:W3CDTF">2025-07-10T11:35:09Z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eyJoZGlkIjoiYjNhZGUzYTMyOWZjYTgzNWYyNzBlNzU4NDRmNmU1MWYiLCJ1c2VySWQiOiIzNzIwNzg4NjMifQ==</vt:lpwstr>
  </property>
  <property fmtid="{D5CDD505-2E9C-101B-9397-08002B2CF9AE}" pid="4" name="ICV">
    <vt:lpwstr>43C19A86400C4D7CB11A4FEFACF4AA74_12</vt:lpwstr>
  </property>
</Properties>
</file>