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版本号：ZCXG-ZB-20253420250710001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运动场地建设工程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ZCXG-ZB-202534</w:t>
      </w:r>
      <w:r>
        <w:br/>
      </w:r>
      <w:r>
        <w:br/>
      </w:r>
      <w:r>
        <w:br/>
      </w:r>
    </w:p>
    <w:p>
      <w:pPr>
        <w:pStyle w:val="null3"/>
        <w:jc w:val="center"/>
        <w:outlineLvl w:val="2"/>
      </w:pPr>
      <w:r>
        <w:rPr>
          <w:rFonts w:ascii="仿宋_GB2312" w:hAnsi="仿宋_GB2312" w:cs="仿宋_GB2312" w:eastAsia="仿宋_GB2312"/>
          <w:sz w:val="28"/>
          <w:b/>
        </w:rPr>
        <w:t>西安市雁塔区大雁塔小学西沣分校</w:t>
      </w:r>
    </w:p>
    <w:p>
      <w:pPr>
        <w:pStyle w:val="null3"/>
        <w:jc w:val="center"/>
        <w:outlineLvl w:val="2"/>
      </w:pPr>
      <w:r>
        <w:rPr>
          <w:rFonts w:ascii="仿宋_GB2312" w:hAnsi="仿宋_GB2312" w:cs="仿宋_GB2312" w:eastAsia="仿宋_GB2312"/>
          <w:sz w:val="28"/>
          <w:b/>
        </w:rPr>
        <w:t>陕西众诚项目管理有限公司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西安市雁塔区大雁塔小学西沣分校</w:t>
      </w:r>
      <w:r>
        <w:rPr>
          <w:rFonts w:ascii="仿宋_GB2312" w:hAnsi="仿宋_GB2312" w:cs="仿宋_GB2312" w:eastAsia="仿宋_GB2312"/>
        </w:rPr>
        <w:t>委托，拟对</w:t>
      </w:r>
      <w:r>
        <w:rPr>
          <w:rFonts w:ascii="仿宋_GB2312" w:hAnsi="仿宋_GB2312" w:cs="仿宋_GB2312" w:eastAsia="仿宋_GB2312"/>
        </w:rPr>
        <w:t>运动场地建设工程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ZCXG-ZB-202534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运动场地建设工程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西安市雁塔区大雁塔小学西沣分校运动场地建设工程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采购包1（运动场地建设工程）：属于专门面向中小企业采购。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1、基本资格条件承诺函：根据《西安市雁塔区财政局关于开展政府采购供应商基本资格条件承诺制试点工作的通知》（雁财函[2024]251号），投标人须提供基本资格条件承诺函。</w:t>
      </w:r>
    </w:p>
    <w:p>
      <w:pPr>
        <w:pStyle w:val="null3"/>
      </w:pPr>
      <w:r>
        <w:rPr>
          <w:rFonts w:ascii="仿宋_GB2312" w:hAnsi="仿宋_GB2312" w:cs="仿宋_GB2312" w:eastAsia="仿宋_GB2312"/>
        </w:rPr>
        <w:t>2、营业执照：具有独立承担民事责任能力的法人、其他组织或自然人，并出具合法有效的营业执照或事业单位法人证书等国家规定的相关证明，自然人参与的提供其身份证明。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3、身份证明：法定代表人直接参加投标的，须提供法定代表人身份证明；法定代表人授权代表参加投标的，须提供法定代表人授权委托书。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4、资质证书：供应商具备建筑工程施工总承包三级以上资质（含三级）或建筑装修装饰工程专业承包二级以上资质（含二级），具有有效的国家建设行政主管部门颁发的安全生产许可证。</w:t>
      </w:r>
    </w:p>
    <w:p>
      <w:pPr>
        <w:pStyle w:val="null3"/>
      </w:pPr>
      <w:r>
        <w:rPr>
          <w:rFonts w:ascii="仿宋_GB2312" w:hAnsi="仿宋_GB2312" w:cs="仿宋_GB2312" w:eastAsia="仿宋_GB2312"/>
        </w:rPr>
        <w:t>5、项目经理：供应商拟派项目经理具有建筑工程专业二级以上注册建造师证书（含二级），具备有效的安全生产考核合格证书（建安B证），且无不良信用记录，无在建工程（提供承诺书）。</w:t>
      </w:r>
    </w:p>
    <w:p>
      <w:pPr>
        <w:pStyle w:val="null3"/>
      </w:pPr>
      <w:r>
        <w:rPr>
          <w:rFonts w:ascii="仿宋_GB2312" w:hAnsi="仿宋_GB2312" w:cs="仿宋_GB2312" w:eastAsia="仿宋_GB2312"/>
        </w:rPr>
        <w:t>6、非联合体声明：本项目不接受联合体投标。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西安市雁塔区大雁塔小学西沣分校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西安市雁塔区杜城街办西沣四路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029-81139736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西安市雁塔区南二环老三届世纪星大厦8楼k座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029-88816603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采购包1：451,987.70元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代理服务费用收取对象：中标/成交供应商代理服务费收费标准：1、根据《国家发展改革委关于进-步放开建设项目专业服务价格的通知 》(发改价格[2015]299号)的有关规定执行。 代理费缴存账户：账户名称：陕西众诚项目管理有限公司 账号：61050172370000001337 开户行：中国建设银行股份有限公司西安八里村支行 行号：105791000282 （备注：项目名称包号代理服务费） 2、成交单位在领取成交通 知书前，须向采购代理机构一次性支付采购代理服务费。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西安市雁塔区大雁塔小学西沣分校</w:t>
      </w:r>
      <w:r>
        <w:rPr>
          <w:rFonts w:ascii="仿宋_GB2312" w:hAnsi="仿宋_GB2312" w:cs="仿宋_GB2312" w:eastAsia="仿宋_GB2312"/>
        </w:rPr>
        <w:t>和</w:t>
      </w:r>
      <w:r>
        <w:rPr>
          <w:rFonts w:ascii="仿宋_GB2312" w:hAnsi="仿宋_GB2312" w:cs="仿宋_GB2312" w:eastAsia="仿宋_GB2312"/>
        </w:rPr>
        <w:t>陕西众诚项目管理有限公司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西安市雁塔区大雁塔小学西沣分校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西安市雁塔区大雁塔小学西沣分校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联系电话：029-88816603</w:t>
      </w:r>
    </w:p>
    <w:p>
      <w:pPr>
        <w:pStyle w:val="null3"/>
      </w:pPr>
      <w:r>
        <w:rPr>
          <w:rFonts w:ascii="仿宋_GB2312" w:hAnsi="仿宋_GB2312" w:cs="仿宋_GB2312" w:eastAsia="仿宋_GB2312"/>
        </w:rPr>
        <w:t>地址：西安市雁塔区南二环老三届世纪星大厦8楼K座</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451,987.70</w:t>
      </w:r>
    </w:p>
    <w:p>
      <w:pPr>
        <w:pStyle w:val="null3"/>
      </w:pPr>
      <w:r>
        <w:rPr>
          <w:rFonts w:ascii="仿宋_GB2312" w:hAnsi="仿宋_GB2312" w:cs="仿宋_GB2312" w:eastAsia="仿宋_GB2312"/>
        </w:rPr>
        <w:t>采购包最高限价（元）: 451,987.70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运动场地建设工程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451,987.70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标的名称：运动场地建设工程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0"/>
                <w:b/>
              </w:rPr>
              <w:t>一、工程概况</w:t>
            </w:r>
          </w:p>
          <w:p>
            <w:pPr>
              <w:pStyle w:val="null3"/>
              <w:ind w:firstLine="560"/>
              <w:jc w:val="both"/>
            </w:pPr>
            <w:r>
              <w:rPr>
                <w:rFonts w:ascii="仿宋_GB2312" w:hAnsi="仿宋_GB2312" w:cs="仿宋_GB2312" w:eastAsia="仿宋_GB2312"/>
                <w:sz w:val="28"/>
              </w:rPr>
              <w:t>大雁塔小学西沣分校运动场地建设工程位于陕西省西安市雁塔区西沣四路309号，工程建设内容主要有：</w:t>
            </w:r>
          </w:p>
          <w:tbl>
            <w:tblPr>
              <w:tblBorders>
                <w:top w:val="none" w:color="000000" w:sz="4"/>
                <w:left w:val="none" w:color="000000" w:sz="4"/>
                <w:bottom w:val="none" w:color="000000" w:sz="4"/>
                <w:right w:val="none" w:color="000000" w:sz="4"/>
                <w:insideH w:val="none"/>
                <w:insideV w:val="none"/>
              </w:tblBorders>
            </w:tblPr>
            <w:tblGrid>
              <w:gridCol w:w="329"/>
              <w:gridCol w:w="596"/>
              <w:gridCol w:w="1622"/>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序号</w:t>
                  </w:r>
                </w:p>
              </w:tc>
              <w:tc>
                <w:tcPr>
                  <w:tcW w:type="dxa" w:w="59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施工项目</w:t>
                  </w:r>
                </w:p>
              </w:tc>
              <w:tc>
                <w:tcPr>
                  <w:tcW w:type="dxa" w:w="162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施工内容</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280"/>
                    <w:jc w:val="both"/>
                  </w:pPr>
                  <w:r>
                    <w:rPr>
                      <w:rFonts w:ascii="仿宋_GB2312" w:hAnsi="仿宋_GB2312" w:cs="仿宋_GB2312" w:eastAsia="仿宋_GB2312"/>
                      <w:sz w:val="28"/>
                    </w:rPr>
                    <w:t>1</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8"/>
                    </w:rPr>
                    <w:t>人造草坪更换</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、铲除旧草坪及外运。</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、铺设新草坪</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280"/>
                    <w:jc w:val="both"/>
                  </w:pPr>
                  <w:r>
                    <w:rPr>
                      <w:rFonts w:ascii="仿宋_GB2312" w:hAnsi="仿宋_GB2312" w:cs="仿宋_GB2312" w:eastAsia="仿宋_GB2312"/>
                      <w:sz w:val="28"/>
                    </w:rPr>
                    <w:t>2</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8"/>
                    </w:rPr>
                    <w:t>塑胶区域修整更新</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、全面维修</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、全部喷涂、画线</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、排水沟道修补</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280"/>
                    <w:jc w:val="both"/>
                  </w:pPr>
                  <w:r>
                    <w:rPr>
                      <w:rFonts w:ascii="仿宋_GB2312" w:hAnsi="仿宋_GB2312" w:cs="仿宋_GB2312" w:eastAsia="仿宋_GB2312"/>
                      <w:sz w:val="28"/>
                    </w:rPr>
                    <w:t>3</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8"/>
                    </w:rPr>
                    <w:t>备用室内运动场地</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、地基处理（含防水）</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、环氧地坪漆（含运动场地画线）</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、备用室内场地修补不小于2000㎡</w:t>
                  </w:r>
                </w:p>
              </w:tc>
            </w:tr>
          </w:tbl>
          <w:p>
            <w:pPr>
              <w:pStyle w:val="null3"/>
              <w:jc w:val="both"/>
            </w:pPr>
            <w:r>
              <w:rPr>
                <w:rFonts w:ascii="仿宋_GB2312" w:hAnsi="仿宋_GB2312" w:cs="仿宋_GB2312" w:eastAsia="仿宋_GB2312"/>
                <w:sz w:val="30"/>
                <w:b/>
              </w:rPr>
              <w:t>二、招标范围</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8"/>
              </w:rPr>
              <w:t>具体范围及数量详见图纸、招标文件及工程量清单</w:t>
            </w:r>
          </w:p>
          <w:p>
            <w:pPr>
              <w:pStyle w:val="null3"/>
              <w:jc w:val="both"/>
            </w:pPr>
            <w:r>
              <w:rPr>
                <w:rFonts w:ascii="仿宋_GB2312" w:hAnsi="仿宋_GB2312" w:cs="仿宋_GB2312" w:eastAsia="仿宋_GB2312"/>
                <w:sz w:val="30"/>
                <w:b/>
              </w:rPr>
              <w:t>三、编制依据</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8"/>
              </w:rPr>
              <w:t xml:space="preserve"> 1.</w:t>
            </w:r>
            <w:r>
              <w:rPr>
                <w:rFonts w:ascii="仿宋_GB2312" w:hAnsi="仿宋_GB2312" w:cs="仿宋_GB2312" w:eastAsia="仿宋_GB2312"/>
                <w:sz w:val="28"/>
              </w:rPr>
              <w:t>施工图。</w:t>
            </w:r>
          </w:p>
          <w:p>
            <w:pPr>
              <w:pStyle w:val="null3"/>
              <w:jc w:val="both"/>
            </w:pPr>
            <w:r>
              <w:rPr>
                <w:rFonts w:ascii="仿宋_GB2312" w:hAnsi="仿宋_GB2312" w:cs="仿宋_GB2312" w:eastAsia="仿宋_GB2312"/>
                <w:sz w:val="28"/>
              </w:rPr>
              <w:t xml:space="preserve">  2.</w:t>
            </w:r>
            <w:r>
              <w:rPr>
                <w:rFonts w:ascii="仿宋_GB2312" w:hAnsi="仿宋_GB2312" w:cs="仿宋_GB2312" w:eastAsia="仿宋_GB2312"/>
                <w:sz w:val="28"/>
              </w:rPr>
              <w:t>陕西省建设工程工程量清单计价规则(2009)。</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陕西省市政工程价目表(2009)。</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《关于调整我省建设工程计价依据的通知》(陕建发[2019]55号)</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与项目有关的标准、规范、技术资料及其他相关资料。</w:t>
            </w:r>
          </w:p>
          <w:p>
            <w:pPr>
              <w:pStyle w:val="null3"/>
              <w:jc w:val="both"/>
            </w:pPr>
            <w:r>
              <w:rPr>
                <w:rFonts w:ascii="仿宋_GB2312" w:hAnsi="仿宋_GB2312" w:cs="仿宋_GB2312" w:eastAsia="仿宋_GB2312"/>
                <w:sz w:val="30"/>
                <w:b/>
              </w:rPr>
              <w:t>四、工程量清单计价说明</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8"/>
              </w:rPr>
              <w:t>1.</w:t>
            </w:r>
            <w:r>
              <w:rPr>
                <w:rFonts w:ascii="仿宋_GB2312" w:hAnsi="仿宋_GB2312" w:cs="仿宋_GB2312" w:eastAsia="仿宋_GB2312"/>
                <w:sz w:val="28"/>
              </w:rPr>
              <w:t>本工程量清单应与招标文件中的投标人须知、通用合同条款、专用合同条款、技术标准和要求及图纸等一起阅读和理解。</w:t>
            </w:r>
          </w:p>
          <w:p>
            <w:pPr>
              <w:pStyle w:val="null3"/>
              <w:jc w:val="both"/>
            </w:pPr>
            <w:r>
              <w:rPr>
                <w:rFonts w:ascii="仿宋_GB2312" w:hAnsi="仿宋_GB2312" w:cs="仿宋_GB2312" w:eastAsia="仿宋_GB2312"/>
                <w:sz w:val="28"/>
              </w:rPr>
              <w:t xml:space="preserve">    2.</w:t>
            </w:r>
            <w:r>
              <w:rPr>
                <w:rFonts w:ascii="仿宋_GB2312" w:hAnsi="仿宋_GB2312" w:cs="仿宋_GB2312" w:eastAsia="仿宋_GB2312"/>
                <w:sz w:val="28"/>
              </w:rPr>
              <w:t>本工程量清单是投标人投标报价的共同基础。除另有约定外，工程量清单中的工程量是根据招标设计图纸计算的用于投标报价的估算工程量，不作为最终结算工程量。最终结算工程量是承包人实际完成并符合技术标准和要求(合同技术条款)规定，按施工图纸计算的有效工程量。工程量计算规则按陕西省建设工程工程量清单计价规则(2009)。</w:t>
            </w:r>
          </w:p>
          <w:p>
            <w:pPr>
              <w:pStyle w:val="null3"/>
              <w:jc w:val="both"/>
            </w:pPr>
            <w:r>
              <w:rPr>
                <w:rFonts w:ascii="仿宋_GB2312" w:hAnsi="仿宋_GB2312" w:cs="仿宋_GB2312" w:eastAsia="仿宋_GB2312"/>
                <w:sz w:val="28"/>
              </w:rPr>
              <w:t xml:space="preserve">    3.</w:t>
            </w:r>
            <w:r>
              <w:rPr>
                <w:rFonts w:ascii="仿宋_GB2312" w:hAnsi="仿宋_GB2312" w:cs="仿宋_GB2312" w:eastAsia="仿宋_GB2312"/>
                <w:sz w:val="28"/>
              </w:rPr>
              <w:t>工程量清单中的每一子目须填入单价或价格，且只允许有一个报价。</w:t>
            </w:r>
          </w:p>
          <w:p>
            <w:pPr>
              <w:pStyle w:val="null3"/>
              <w:jc w:val="both"/>
            </w:pPr>
            <w:r>
              <w:rPr>
                <w:rFonts w:ascii="仿宋_GB2312" w:hAnsi="仿宋_GB2312" w:cs="仿宋_GB2312" w:eastAsia="仿宋_GB2312"/>
                <w:sz w:val="28"/>
              </w:rPr>
              <w:t xml:space="preserve">    4.</w:t>
            </w:r>
            <w:r>
              <w:rPr>
                <w:rFonts w:ascii="仿宋_GB2312" w:hAnsi="仿宋_GB2312" w:cs="仿宋_GB2312" w:eastAsia="仿宋_GB2312"/>
                <w:sz w:val="28"/>
              </w:rPr>
              <w:t>工程量清单中标价的单价或金额，应包括所需的人工费、施工机械使用费、材料费、措施费等直接费，以及规费、企业管理费、利润、税金、合同明示或暗示的风险、责任和义务等。</w:t>
            </w:r>
          </w:p>
          <w:p>
            <w:pPr>
              <w:pStyle w:val="null3"/>
              <w:jc w:val="both"/>
            </w:pPr>
            <w:r>
              <w:rPr>
                <w:rFonts w:ascii="仿宋_GB2312" w:hAnsi="仿宋_GB2312" w:cs="仿宋_GB2312" w:eastAsia="仿宋_GB2312"/>
                <w:sz w:val="28"/>
              </w:rPr>
              <w:t xml:space="preserve">    5.</w:t>
            </w:r>
            <w:r>
              <w:rPr>
                <w:rFonts w:ascii="仿宋_GB2312" w:hAnsi="仿宋_GB2312" w:cs="仿宋_GB2312" w:eastAsia="仿宋_GB2312"/>
                <w:sz w:val="28"/>
              </w:rPr>
              <w:t>工程量清单中投标人没有填入单价或价格的子目，其费用视为已分摊在工程量清单中其他相关子目的单价或价格之中。</w:t>
            </w:r>
          </w:p>
          <w:p>
            <w:pPr>
              <w:pStyle w:val="null3"/>
              <w:jc w:val="both"/>
            </w:pPr>
            <w:r>
              <w:rPr>
                <w:rFonts w:ascii="仿宋_GB2312" w:hAnsi="仿宋_GB2312" w:cs="仿宋_GB2312" w:eastAsia="仿宋_GB2312"/>
                <w:sz w:val="28"/>
              </w:rPr>
              <w:t xml:space="preserve">    6.</w:t>
            </w:r>
            <w:r>
              <w:rPr>
                <w:rFonts w:ascii="仿宋_GB2312" w:hAnsi="仿宋_GB2312" w:cs="仿宋_GB2312" w:eastAsia="仿宋_GB2312"/>
                <w:sz w:val="28"/>
              </w:rPr>
              <w:t>除合同另有规定外，在投标截止日前28天当时所依据的国家法律、行政法规、国务院有关部门的规章，以及我省的地方法规和规章中规定应由承包人缴纳的税金和其它规费均应计入单价、合价和总报价中。</w:t>
            </w:r>
          </w:p>
          <w:p>
            <w:pPr>
              <w:pStyle w:val="null3"/>
              <w:ind w:firstLine="600"/>
              <w:jc w:val="both"/>
            </w:pPr>
            <w:r>
              <w:rPr>
                <w:rFonts w:ascii="仿宋_GB2312" w:hAnsi="仿宋_GB2312" w:cs="仿宋_GB2312" w:eastAsia="仿宋_GB2312"/>
                <w:sz w:val="28"/>
              </w:rPr>
              <w:t>７.安全施工费，不得低于规定费率计取，不得作为竞争性费用。未按规定费率或未单独列项报价的，将作为废标处理。</w:t>
            </w:r>
          </w:p>
          <w:p>
            <w:pPr>
              <w:pStyle w:val="null3"/>
              <w:jc w:val="both"/>
            </w:pPr>
            <w:r>
              <w:rPr>
                <w:rFonts w:ascii="仿宋_GB2312" w:hAnsi="仿宋_GB2312" w:cs="仿宋_GB2312" w:eastAsia="仿宋_GB2312"/>
                <w:sz w:val="30"/>
                <w:b/>
              </w:rPr>
              <w:t>五、其他说明</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8"/>
              </w:rPr>
              <w:t xml:space="preserve"> 1.</w:t>
            </w:r>
            <w:r>
              <w:rPr>
                <w:rFonts w:ascii="仿宋_GB2312" w:hAnsi="仿宋_GB2312" w:cs="仿宋_GB2312" w:eastAsia="仿宋_GB2312"/>
                <w:sz w:val="28"/>
              </w:rPr>
              <w:t>工程建设中所需的材料均应满足图纸、技术标准。</w:t>
            </w:r>
          </w:p>
          <w:p>
            <w:pPr>
              <w:pStyle w:val="null3"/>
              <w:jc w:val="both"/>
            </w:pPr>
            <w:r>
              <w:rPr>
                <w:rFonts w:ascii="仿宋_GB2312" w:hAnsi="仿宋_GB2312" w:cs="仿宋_GB2312" w:eastAsia="仿宋_GB2312"/>
                <w:sz w:val="28"/>
              </w:rPr>
              <w:t xml:space="preserve">    2.</w:t>
            </w:r>
            <w:r>
              <w:rPr>
                <w:rFonts w:ascii="仿宋_GB2312" w:hAnsi="仿宋_GB2312" w:cs="仿宋_GB2312" w:eastAsia="仿宋_GB2312"/>
                <w:sz w:val="28"/>
              </w:rPr>
              <w:t>施工用电、施工用水由承包人与建设单位协商解决。</w:t>
            </w:r>
          </w:p>
          <w:p>
            <w:pPr>
              <w:pStyle w:val="null3"/>
              <w:jc w:val="both"/>
            </w:pPr>
            <w:r>
              <w:rPr>
                <w:rFonts w:ascii="仿宋_GB2312" w:hAnsi="仿宋_GB2312" w:cs="仿宋_GB2312" w:eastAsia="仿宋_GB2312"/>
                <w:sz w:val="28"/>
              </w:rPr>
              <w:t xml:space="preserve">    3.</w:t>
            </w:r>
            <w:r>
              <w:rPr>
                <w:rFonts w:ascii="仿宋_GB2312" w:hAnsi="仿宋_GB2312" w:cs="仿宋_GB2312" w:eastAsia="仿宋_GB2312"/>
                <w:sz w:val="28"/>
              </w:rPr>
              <w:t>施工临时道路承包人应自行考虑场内道路的修筑与维护、及场外道路的维护，投标人应自行考虑主要材料的短驳运输费用，费用包含在报价内，不另列项。</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本工程凡涉及拆除项目，无论项目特征内是否描述，均包括拆除、清理、外运及处置，费用包含在综合单价内，不得调整。</w:t>
            </w:r>
          </w:p>
          <w:p>
            <w:pPr>
              <w:pStyle w:val="null3"/>
            </w:pPr>
            <w:r>
              <w:rPr>
                <w:rFonts w:ascii="仿宋_GB2312" w:hAnsi="仿宋_GB2312" w:cs="仿宋_GB2312" w:eastAsia="仿宋_GB2312"/>
                <w:sz w:val="28"/>
              </w:rPr>
              <w:t>5.</w:t>
            </w:r>
            <w:r>
              <w:rPr>
                <w:rFonts w:ascii="仿宋_GB2312" w:hAnsi="仿宋_GB2312" w:cs="仿宋_GB2312" w:eastAsia="仿宋_GB2312"/>
                <w:sz w:val="28"/>
              </w:rPr>
              <w:t>工程量清单中材料的规格型号及做法要求等按照工程量清单编制说明中技术标准为准，结算不做调整。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1、工期：30天 ； 2、付款方式：工程验收合格且出具正式项目竣工结算审计报告后，一次性支付审定造价的100%； 3、质保期：5年。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供应商具备建筑工程施工总承包三级以上资质（含三级）或建筑装修装饰工程专业承包二级以上资质（含二级），具有有效的国家建设行政主管部门颁发的安全生产许可证。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供应商拟派项目经理具有建筑工程专业二级以上注册建造师证书（含二级），具备有效的安全生产考核合格证书（建安B证），且无不良信用记录，无在建工程（提供承诺书）。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应符合磋商文件的格式要求。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文件格式</w:t>
            </w:r>
          </w:p>
        </w:tc>
        <w:tc>
          <w:tcPr>
            <w:tcW w:type="dxa" w:w="3322"/>
          </w:tcPr>
          <w:p>
            <w:pPr>
              <w:pStyle w:val="null3"/>
            </w:pPr>
            <w:r>
              <w:rPr>
                <w:rFonts w:ascii="仿宋_GB2312" w:hAnsi="仿宋_GB2312" w:cs="仿宋_GB2312" w:eastAsia="仿宋_GB2312"/>
              </w:rPr>
              <w:t>应符合磋商文件的格式要求，可以扩充。</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w:t>
            </w:r>
          </w:p>
        </w:tc>
        <w:tc>
          <w:tcPr>
            <w:tcW w:type="dxa" w:w="3322"/>
          </w:tcPr>
          <w:p>
            <w:pPr>
              <w:pStyle w:val="null3"/>
            </w:pPr>
            <w:r>
              <w:rPr>
                <w:rFonts w:ascii="仿宋_GB2312" w:hAnsi="仿宋_GB2312" w:cs="仿宋_GB2312" w:eastAsia="仿宋_GB2312"/>
              </w:rPr>
              <w:t>第一次磋商报价不超过最高限价。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已标价清单</w:t>
            </w:r>
          </w:p>
        </w:tc>
        <w:tc>
          <w:tcPr>
            <w:tcW w:type="dxa" w:w="3322"/>
          </w:tcPr>
          <w:p>
            <w:pPr>
              <w:pStyle w:val="null3"/>
            </w:pPr>
            <w:r>
              <w:rPr>
                <w:rFonts w:ascii="仿宋_GB2312" w:hAnsi="仿宋_GB2312" w:cs="仿宋_GB2312" w:eastAsia="仿宋_GB2312"/>
              </w:rPr>
              <w:t>应符合磋商文件给出的工程量清单范围和数量。</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方案合理、技术措施得当计7分；方案基本合理、技术措施一般计4分；合理性较差技术措施不得当得1分；未提供不得分。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质量管理体系完善，技术组织措施合理、可行计6分；质量管理体系较完善、技术组织措施一般，不够明确计4分；质量管理体系较为可行、针对性不强、内容简单计2分；未提供不得分。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安全管理体系健全，保证措施合理、可行计6分；安全管理体系较健全，保障措施一般计4分；安全管理体系较为可行、针对性不强、内容简单计2分；未提供不得分。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文明施工、环境保护措施、施工现场扬尘污染防治措施</w:t>
            </w:r>
          </w:p>
        </w:tc>
        <w:tc>
          <w:tcPr>
            <w:tcW w:type="dxa" w:w="2492"/>
          </w:tcPr>
          <w:p>
            <w:pPr>
              <w:pStyle w:val="null3"/>
            </w:pPr>
            <w:r>
              <w:rPr>
                <w:rFonts w:ascii="仿宋_GB2312" w:hAnsi="仿宋_GB2312" w:cs="仿宋_GB2312" w:eastAsia="仿宋_GB2312"/>
              </w:rPr>
              <w:t>各项措施合理、保障有力计6分；各项措施较健全，针对性一般计4分；各项措施较为可行、针对性不强、内容简单计2分；未提供不得分。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施工进度计划及保证措施</w:t>
            </w:r>
          </w:p>
        </w:tc>
        <w:tc>
          <w:tcPr>
            <w:tcW w:type="dxa" w:w="2492"/>
          </w:tcPr>
          <w:p>
            <w:pPr>
              <w:pStyle w:val="null3"/>
            </w:pPr>
            <w:r>
              <w:rPr>
                <w:rFonts w:ascii="仿宋_GB2312" w:hAnsi="仿宋_GB2312" w:cs="仿宋_GB2312" w:eastAsia="仿宋_GB2312"/>
              </w:rPr>
              <w:t>具有明确的施工进度表，进度计划合理、保证措施有力计6分；施工进度计划较清晰、措施一般计4分；施工进度计划不清晰、措施简单计2分；未提供不得分。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施工现场机械配备和材料投入计划合理，符合施工实际需求计6分；施工机械配备和材料投入计划一般，基本符合施工实际需求的计4分；机械、设备安排简单计2分；未提供不得分。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项目组织管理机构人员配置齐全（项目经理、技术负责人、施工人员等），各专业配备合理、分工及岗位职责清晰计6分；人员配置充足，分工基本明确，职责不够清晰计4分；人员数量较少，经验不足，证明材料不够详尽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项目实施过程中周边关系协调方案和保证措施合理</w:t>
            </w:r>
          </w:p>
        </w:tc>
        <w:tc>
          <w:tcPr>
            <w:tcW w:type="dxa" w:w="2492"/>
          </w:tcPr>
          <w:p>
            <w:pPr>
              <w:pStyle w:val="null3"/>
            </w:pPr>
            <w:r>
              <w:rPr>
                <w:rFonts w:ascii="仿宋_GB2312" w:hAnsi="仿宋_GB2312" w:cs="仿宋_GB2312" w:eastAsia="仿宋_GB2312"/>
              </w:rPr>
              <w:t>项目实施过程中周边关系协调方案和保证措施合理，可行性高计6分；方案一般、措施不完备计4分；可行性、合理性较差得2分；未提供不得分。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降低工程造价、缩短施工周期的合理化建议</w:t>
            </w:r>
          </w:p>
        </w:tc>
        <w:tc>
          <w:tcPr>
            <w:tcW w:type="dxa" w:w="2492"/>
          </w:tcPr>
          <w:p>
            <w:pPr>
              <w:pStyle w:val="null3"/>
            </w:pPr>
            <w:r>
              <w:rPr>
                <w:rFonts w:ascii="仿宋_GB2312" w:hAnsi="仿宋_GB2312" w:cs="仿宋_GB2312" w:eastAsia="仿宋_GB2312"/>
              </w:rPr>
              <w:t>各项建议合理、可行，方法得当计6分；合理化建议可行性一般、方法较少计4分；可行性、合理性较差得2分；未提供不得分。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突发事件的应急措施和解决方案</w:t>
            </w:r>
          </w:p>
        </w:tc>
        <w:tc>
          <w:tcPr>
            <w:tcW w:type="dxa" w:w="2492"/>
          </w:tcPr>
          <w:p>
            <w:pPr>
              <w:pStyle w:val="null3"/>
            </w:pPr>
            <w:r>
              <w:rPr>
                <w:rFonts w:ascii="仿宋_GB2312" w:hAnsi="仿宋_GB2312" w:cs="仿宋_GB2312" w:eastAsia="仿宋_GB2312"/>
              </w:rPr>
              <w:t>突发事件的应急措施和解决方案，详细合理计5分；较详细得3分；较差得1分；未提供不得分。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提供供应商2022年7月至磋商截止日期前类似项目业绩，每提供1个得2分，满分10分(以合同协议书或中标（成交）通知书内容为准）。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经资格审查、符合性审查合格的磋商响应文件，其磋商报价为有效磋商报价，满足磋商文件要求且磋商价格最低的投标报价为评标基准价，其价格分为满分。 价格分按照下列公式计算。 磋商报价得分=（评标基准价/磋商报价）×价格分值。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详见附件：基本资格条件承诺函.docx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