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版本号：HXGJXM2025-ZC-CS107420250714001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2025年支持学前教育发展(公办幼儿园建设)项目（室内改造）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HXGJXM2025-ZC-CS1074</w:t>
      </w:r>
      <w:r>
        <w:br/>
      </w:r>
      <w:r>
        <w:br/>
      </w:r>
      <w:r>
        <w:br/>
      </w:r>
    </w:p>
    <w:p>
      <w:pPr>
        <w:pStyle w:val="null3"/>
        <w:jc w:val="center"/>
        <w:outlineLvl w:val="2"/>
      </w:pPr>
      <w:r>
        <w:rPr>
          <w:rFonts w:ascii="仿宋_GB2312" w:hAnsi="仿宋_GB2312" w:cs="仿宋_GB2312" w:eastAsia="仿宋_GB2312"/>
          <w:sz w:val="28"/>
          <w:b/>
        </w:rPr>
        <w:t>西安市雁塔区第三十一幼儿园</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西安市雁塔区第三十一幼儿园</w:t>
      </w:r>
      <w:r>
        <w:rPr>
          <w:rFonts w:ascii="仿宋_GB2312" w:hAnsi="仿宋_GB2312" w:cs="仿宋_GB2312" w:eastAsia="仿宋_GB2312"/>
        </w:rPr>
        <w:t>委托，拟对</w:t>
      </w:r>
      <w:r>
        <w:rPr>
          <w:rFonts w:ascii="仿宋_GB2312" w:hAnsi="仿宋_GB2312" w:cs="仿宋_GB2312" w:eastAsia="仿宋_GB2312"/>
        </w:rPr>
        <w:t>2025年支持学前教育发展(公办幼儿园建设)项目（室内改造）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HXGJXM2025-ZC-CS1074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2025年支持学前教育发展(公办幼儿园建设)项目（室内改造）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2025年支持学前教育发展(公办幼儿园建设)项目（室内改造）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采购包1（2025年支持学前教育发展(公办幼儿园建设)项目（室内改造））：属于专门面向中小企业采购。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拟派项目负责人资质和专业要求。：项目负责人具备建筑工程专业二级及以上注册建造师执业资格和有效的安全生产考核证书（B证）在本单位注册，且无在建工程、无不良记录（提供无在建工程、无不良记录承诺书）；</w:t>
      </w:r>
    </w:p>
    <w:p>
      <w:pPr>
        <w:pStyle w:val="null3"/>
      </w:pPr>
      <w:r>
        <w:rPr>
          <w:rFonts w:ascii="仿宋_GB2312" w:hAnsi="仿宋_GB2312" w:cs="仿宋_GB2312" w:eastAsia="仿宋_GB2312"/>
        </w:rPr>
        <w:t>2、法定代表人授权书：法定代表人授权书（附法定代表人、被授权人身份证复印件，被授权人提供投标截止日前一年内已缴存的至少一个月的社会保险参保缴费证明）（法定代表人直接参加磋商，须提供法定代表人身份证明）</w:t>
      </w:r>
    </w:p>
    <w:p>
      <w:pPr>
        <w:pStyle w:val="null3"/>
      </w:pPr>
      <w:r>
        <w:rPr>
          <w:rFonts w:ascii="仿宋_GB2312" w:hAnsi="仿宋_GB2312" w:cs="仿宋_GB2312" w:eastAsia="仿宋_GB2312"/>
        </w:rPr>
        <w:t>3、单位资质：供应商应具备建设行政主管部门核发的建筑装修装饰工程专业承包二级及以上资质，具有有效的安全生产许可证；</w:t>
      </w:r>
    </w:p>
    <w:p>
      <w:pPr>
        <w:pStyle w:val="null3"/>
      </w:pPr>
      <w:r>
        <w:rPr>
          <w:rFonts w:ascii="仿宋_GB2312" w:hAnsi="仿宋_GB2312" w:cs="仿宋_GB2312" w:eastAsia="仿宋_GB2312"/>
        </w:rPr>
        <w:t>4、信用信息：供应商未被“信用中国”网站（www.creditchina.gov.cn）列入失信被执行人和重大税收违法失信主体，未被中国政府采购网（www.ccgp.gov.cn）列入政府采购严重违法失信行为记录名单；（采购代理机构于本项目磋商公告发布后至磋商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西安市雁塔区第三十一幼儿园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西安市雁塔区石驿路729号华洲城玖玺大观小区内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西安市雁塔区第三十一幼儿园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15202419425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陕西省西安市莲湖区陕西省西安市莲湖区二环南路西段202号1幢1单元1605室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18091879756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采购包1：350,688.75元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代理服务费收费标准：定额收取：6000元；户名：华夏国际项目管理（西安）有限公司 开户行：中国工商银行股份有限公司西安城南科技支行 账号：3700024819200130193</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西安市雁塔区第三十一幼儿园</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西安市雁塔区第三十一幼儿园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西安市雁塔区第三十一幼儿园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联系人：魏依依、康敏茹、雷鸣、张艳萍</w:t>
      </w:r>
    </w:p>
    <w:p>
      <w:pPr>
        <w:pStyle w:val="null3"/>
      </w:pPr>
      <w:r>
        <w:rPr>
          <w:rFonts w:ascii="仿宋_GB2312" w:hAnsi="仿宋_GB2312" w:cs="仿宋_GB2312" w:eastAsia="仿宋_GB2312"/>
        </w:rPr>
        <w:t>联系电话：029-88899970/72/73/75-805</w:t>
      </w:r>
    </w:p>
    <w:p>
      <w:pPr>
        <w:pStyle w:val="null3"/>
      </w:pPr>
      <w:r>
        <w:rPr>
          <w:rFonts w:ascii="仿宋_GB2312" w:hAnsi="仿宋_GB2312" w:cs="仿宋_GB2312" w:eastAsia="仿宋_GB2312"/>
        </w:rPr>
        <w:t>地址：西安市莲湖区二环南路西段202号九座花园16层1605室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350,688.75</w:t>
      </w:r>
    </w:p>
    <w:p>
      <w:pPr>
        <w:pStyle w:val="null3"/>
      </w:pPr>
      <w:r>
        <w:rPr>
          <w:rFonts w:ascii="仿宋_GB2312" w:hAnsi="仿宋_GB2312" w:cs="仿宋_GB2312" w:eastAsia="仿宋_GB2312"/>
        </w:rPr>
        <w:t>采购包最高限价（元）: 350,688.75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2025年支持学前教育发展（公办幼儿园建设）项目（室内改造））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350,688.75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标的名称：2025年支持学前教育发展（公办幼儿园建设）项目（室内改造））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一、工程名称：</w:t>
            </w:r>
          </w:p>
          <w:p>
            <w:pPr>
              <w:pStyle w:val="null3"/>
              <w:jc w:val="both"/>
            </w:pPr>
            <w:r>
              <w:rPr>
                <w:rFonts w:ascii="仿宋_GB2312" w:hAnsi="仿宋_GB2312" w:cs="仿宋_GB2312" w:eastAsia="仿宋_GB2312"/>
              </w:rPr>
              <w:t>1.2025年支持学前教育发展(公办幼儿园建设)项目（室内改造）</w:t>
            </w:r>
          </w:p>
          <w:p>
            <w:pPr>
              <w:pStyle w:val="null3"/>
              <w:jc w:val="both"/>
            </w:pPr>
            <w:r>
              <w:rPr>
                <w:rFonts w:ascii="仿宋_GB2312" w:hAnsi="仿宋_GB2312" w:cs="仿宋_GB2312" w:eastAsia="仿宋_GB2312"/>
              </w:rPr>
              <w:t>二、编制依据：</w:t>
            </w:r>
          </w:p>
          <w:p>
            <w:pPr>
              <w:pStyle w:val="null3"/>
              <w:jc w:val="both"/>
            </w:pPr>
            <w:r>
              <w:rPr>
                <w:rFonts w:ascii="仿宋_GB2312" w:hAnsi="仿宋_GB2312" w:cs="仿宋_GB2312" w:eastAsia="仿宋_GB2312"/>
              </w:rPr>
              <w:t>1.甲方提供的工程量及工程做法；</w:t>
            </w:r>
          </w:p>
          <w:p>
            <w:pPr>
              <w:pStyle w:val="null3"/>
              <w:jc w:val="both"/>
            </w:pPr>
            <w:r>
              <w:rPr>
                <w:rFonts w:ascii="仿宋_GB2312" w:hAnsi="仿宋_GB2312" w:cs="仿宋_GB2312" w:eastAsia="仿宋_GB2312"/>
              </w:rPr>
              <w:t>2.《陕西省建设工程工程量清单计价规则》（2009）；《陕西省建筑、安装消耗量定额》（2004）、《陕西省建设工程消耗量定额（2009）补充定额）》及其他相关文件；《陕西省建筑、装饰、安装工程价目表》（2009）、《陕西省安装工程价目表》（2009）、《陕西省建设工程施工机械台班价目表》（2009）、《陕西省建设工程消耗量定额勘误及补充定额》（2009）、《陕西省建设工程工程量清单计价费率》（2009）及其他相关文件；</w:t>
            </w:r>
          </w:p>
          <w:p>
            <w:pPr>
              <w:pStyle w:val="null3"/>
              <w:jc w:val="both"/>
            </w:pPr>
            <w:r>
              <w:rPr>
                <w:rFonts w:ascii="仿宋_GB2312" w:hAnsi="仿宋_GB2312" w:cs="仿宋_GB2312" w:eastAsia="仿宋_GB2312"/>
              </w:rPr>
              <w:t>3.施工现场情况、工程特点、相关国家和陕西省建筑施工规范要求等；</w:t>
            </w:r>
          </w:p>
          <w:p>
            <w:pPr>
              <w:pStyle w:val="null3"/>
              <w:jc w:val="both"/>
            </w:pPr>
            <w:r>
              <w:rPr>
                <w:rFonts w:ascii="仿宋_GB2312" w:hAnsi="仿宋_GB2312" w:cs="仿宋_GB2312" w:eastAsia="仿宋_GB2312"/>
              </w:rPr>
              <w:t>4.本工程采用广联达云计价平台GCCP6.0（版本：6.4100.23.122）。</w:t>
            </w:r>
          </w:p>
          <w:p>
            <w:pPr>
              <w:pStyle w:val="null3"/>
              <w:jc w:val="both"/>
            </w:pPr>
            <w:r>
              <w:rPr>
                <w:rFonts w:ascii="仿宋_GB2312" w:hAnsi="仿宋_GB2312" w:cs="仿宋_GB2312" w:eastAsia="仿宋_GB2312"/>
              </w:rPr>
              <w:t>三、其他需要说明问题：</w:t>
            </w:r>
          </w:p>
          <w:p>
            <w:pPr>
              <w:pStyle w:val="null3"/>
              <w:jc w:val="both"/>
            </w:pPr>
            <w:r>
              <w:rPr>
                <w:rFonts w:ascii="仿宋_GB2312" w:hAnsi="仿宋_GB2312" w:cs="仿宋_GB2312" w:eastAsia="仿宋_GB2312"/>
              </w:rPr>
              <w:t>1.清单中工程量为暂定工程量，结算时按实调整。</w:t>
            </w:r>
          </w:p>
          <w:p>
            <w:pPr>
              <w:pStyle w:val="null3"/>
              <w:jc w:val="both"/>
            </w:pPr>
            <w:r>
              <w:rPr>
                <w:rFonts w:ascii="仿宋_GB2312" w:hAnsi="仿宋_GB2312" w:cs="仿宋_GB2312" w:eastAsia="仿宋_GB2312"/>
              </w:rPr>
              <w:t>2.具体内容详见电子招标书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《建设工程质量管理条例》</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3.1施工工期 ：自合同签订之日起25日历日。 3.2建设地点 采购包1：西安市雁塔区第三十一幼儿园 3.3支付方式 分期付款 3.4支付约定 （1）合同签订后15日内支付合同总价款40%作为预付款；（2）当承包人完成全部合同工程量、工程竣工，经发包人验收合格，承包人将竣工资料及相关质量证明文件交付发包人并完成工程审计后 ，达到付款条件起20日内，支付至最终审定决算价款。（3）付款前供应商需提前向甲方提供足额发票。 3.5验收标准和方法 ：达到工程质量验收合格标准。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在施工期间，中标供应商必须注意院内人员安全，加强安全措施，并对施工人员进行安全教育。施工人员必须持证上岗。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供应商需在项目电子化交易系统中按要求填写《投标函》完成承诺并提供以下资料：1.提供合格有效的法人或者其他组织的营业执照等证明文件，自然人的身份证明；供应商是法人或其他组织的应提供营业 执照等证明文件，供应商是自然人的应提供有效的自然人身份证明；2.财务状况证明：提供2023 或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 3.提供具有履行合同所必需的设备和专业技术能力的承诺；4.税收缴纳证明：提供递交响应文件截止之日前一年内任意一个月的依法缴纳税收的完税证明，完税证明应有税务机关或代收机关的公章或业务专用章。依法免税或无须缴纳税收的供应商，应提供相应证明文件。5.社会保障资金缴纳证明：提供投标截止日前一年内已缴存的至少一个月的社会保障资金缴存单据或社保机构开具的社会保险参保缴费情况证明，依法不需要缴纳社会保障资金的单位应提供相关证明材料；6.供应商应出具参加政府采购活动前3年内在经营活动中没有重大违法记录的书面声明；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 或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项目负责人具备建筑工程专业二级及以上注册建造师执业资格和有效的安全生产考核证书（B证）在本单位注册，且无在建工程、无不良记录（提供无在建工程、无不良记录承诺书）；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法定代表人授权书（附法定代表人、被授权人身份证复印件，被授权人提供投标截止日前一年内已缴存的至少一个月的社会保险参保缴费证明）（法定代表人直接参加磋商，须提供法定代表人身份证明）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单位资质</w:t>
            </w:r>
          </w:p>
        </w:tc>
        <w:tc>
          <w:tcPr>
            <w:tcW w:type="dxa" w:w="3322"/>
          </w:tcPr>
          <w:p>
            <w:pPr>
              <w:pStyle w:val="null3"/>
            </w:pPr>
            <w:r>
              <w:rPr>
                <w:rFonts w:ascii="仿宋_GB2312" w:hAnsi="仿宋_GB2312" w:cs="仿宋_GB2312" w:eastAsia="仿宋_GB2312"/>
              </w:rPr>
              <w:t>供应商应具备建设行政主管部门核发的建筑装修装饰工程专业承包二级及以上资质，具有有效的安全生产许可证；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采购代理机构于本项目磋商公告发布后至磋商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报价一览表.docx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法定代表人或其授权代表人的签字齐全并加盖公章。</w:t>
            </w:r>
          </w:p>
        </w:tc>
        <w:tc>
          <w:tcPr>
            <w:tcW w:type="dxa" w:w="1661"/>
          </w:tcPr>
          <w:p>
            <w:pPr>
              <w:pStyle w:val="null3"/>
            </w:pPr>
            <w:r>
              <w:rPr>
                <w:rFonts w:ascii="仿宋_GB2312" w:hAnsi="仿宋_GB2312" w:cs="仿宋_GB2312" w:eastAsia="仿宋_GB2312"/>
              </w:rPr>
              <w:t>报价一览表.docx 已标价工程量清单 中小企业声明函 承诺书.docx 其它资料.docx 资格证明文件.docx 响应文件封面 项目管理机构组成表 磋商方案说明.docx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报价一览表.docx 已标价工程量清单 中小企业声明函 承诺书.docx 其它资料.docx 资格证明文件.docx 响应文件封面 项目管理机构组成表 磋商方案说明.docx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报价一览表.docx 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报价一览表.docx 已标价工程量清单 中小企业声明函 承诺书.docx 其它资料.docx 资格证明文件.docx 响应文件封面 项目管理机构组成表 磋商方案说明.docx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报价一览表.docx 磋商方案说明.docx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不存在法律、法规和磋商文件规定的其他无效磋商情形。</w:t>
            </w:r>
          </w:p>
        </w:tc>
        <w:tc>
          <w:tcPr>
            <w:tcW w:type="dxa" w:w="1661"/>
          </w:tcPr>
          <w:p>
            <w:pPr>
              <w:pStyle w:val="null3"/>
            </w:pPr>
            <w:r>
              <w:rPr>
                <w:rFonts w:ascii="仿宋_GB2312" w:hAnsi="仿宋_GB2312" w:cs="仿宋_GB2312" w:eastAsia="仿宋_GB2312"/>
              </w:rPr>
              <w:t>报价一览表.docx 已标价工程量清单 中小企业声明函 承诺书.docx 其它资料.docx 资格证明文件.docx 响应文件封面 项目管理机构组成表 磋商方案说明.docx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1、实施方案非常详细并且完整可行、有针对性，完全满足项目实施的得10分； 2、实施方案详细、完整，可行、有针对性，满足项目实施的得8分； 3、实施方案比较详细完整、可行，较利于项目实施的得5分； 4、实施方案基本可行，基本满足项目实施需要的得2分;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安全作业管理</w:t>
            </w:r>
          </w:p>
        </w:tc>
        <w:tc>
          <w:tcPr>
            <w:tcW w:type="dxa" w:w="2492"/>
          </w:tcPr>
          <w:p>
            <w:pPr>
              <w:pStyle w:val="null3"/>
            </w:pPr>
            <w:r>
              <w:rPr>
                <w:rFonts w:ascii="仿宋_GB2312" w:hAnsi="仿宋_GB2312" w:cs="仿宋_GB2312" w:eastAsia="仿宋_GB2312"/>
              </w:rPr>
              <w:t>针对本项目提供的安全作业方案及安全配套措施进行综合评审。 1、提供的安全作业方案及安全配套措施具体、详细，完全符合并优于采购人安全作业的要求，得5分； 2、提供安全作业方案及安全配套措施较详细、较完整，符合采购人安全作业的要求，得3分； 3、提供安全作业方案及安全配套措施基本合理可行，符合采购人安全作业的要求，得2分； 4、提供的安全作业方案及安全配套措施简单，基本符合采购人安全作业的要求，得1分。 5、未提供得0分。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文明施工措施计划</w:t>
            </w:r>
          </w:p>
        </w:tc>
        <w:tc>
          <w:tcPr>
            <w:tcW w:type="dxa" w:w="2492"/>
          </w:tcPr>
          <w:p>
            <w:pPr>
              <w:pStyle w:val="null3"/>
            </w:pPr>
            <w:r>
              <w:rPr>
                <w:rFonts w:ascii="仿宋_GB2312" w:hAnsi="仿宋_GB2312" w:cs="仿宋_GB2312" w:eastAsia="仿宋_GB2312"/>
              </w:rPr>
              <w:t>针对本项目提供的文明施工措施计划进行综合评审。 1、措施计划齐全、合理且切实可行，完全满足采购人需求得5分； 2、措施计划较齐全、合理、切实可行，满足采购人需求得3分； 3、措施计划较齐全、合理、基本可行，基本满足采购人需求得2分； 4、措施计划基本完备齐全、合理性、可行性较差，得1分； 5、未提供得0分。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工程质量的技术组织措施内容至少包括①质量管理工作流程；②工程质量保障方案;③工程质量控制体系:④材料和构配件的质量控制等;⑤施工检测及工序交验方案等。以上内容专门针对本项目且符合本项目实际需求的得 10 分，每缺一项内容扣 2 分，若上述内容存在瑕疵，每存在 1 处瑕疵扣0-2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配备分工及配合协调措施</w:t>
            </w:r>
          </w:p>
        </w:tc>
        <w:tc>
          <w:tcPr>
            <w:tcW w:type="dxa" w:w="2492"/>
          </w:tcPr>
          <w:p>
            <w:pPr>
              <w:pStyle w:val="null3"/>
            </w:pPr>
            <w:r>
              <w:rPr>
                <w:rFonts w:ascii="仿宋_GB2312" w:hAnsi="仿宋_GB2312" w:cs="仿宋_GB2312" w:eastAsia="仿宋_GB2312"/>
              </w:rPr>
              <w:t>1、配备分工合理，岗位间配合协调措施完善，得5分； 2、配备分工有一定合理性，岗位间配合协调措施较完善，得3分； 3、配备分工无针对性，岗位间协调配合措施简单笼统，得1分。未提供不得分。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专业技术能力及岗位职责</w:t>
            </w:r>
          </w:p>
        </w:tc>
        <w:tc>
          <w:tcPr>
            <w:tcW w:type="dxa" w:w="2492"/>
          </w:tcPr>
          <w:p>
            <w:pPr>
              <w:pStyle w:val="null3"/>
            </w:pPr>
            <w:r>
              <w:rPr>
                <w:rFonts w:ascii="仿宋_GB2312" w:hAnsi="仿宋_GB2312" w:cs="仿宋_GB2312" w:eastAsia="仿宋_GB2312"/>
              </w:rPr>
              <w:t>1、人员专业技术能力强，岗位职责清晰，得5分； 2、人员有一定的专业技术能力，岗位职责较清晰，得3分； 3、人员专业技术能力欠缺，得1分。未提供不得分。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机械设备和劳动力配置情况</w:t>
            </w:r>
          </w:p>
        </w:tc>
        <w:tc>
          <w:tcPr>
            <w:tcW w:type="dxa" w:w="2492"/>
          </w:tcPr>
          <w:p>
            <w:pPr>
              <w:pStyle w:val="null3"/>
            </w:pPr>
            <w:r>
              <w:rPr>
                <w:rFonts w:ascii="仿宋_GB2312" w:hAnsi="仿宋_GB2312" w:cs="仿宋_GB2312" w:eastAsia="仿宋_GB2312"/>
              </w:rPr>
              <w:t>针对本项目提供拟投入本项目主要机械、设备和劳动力配置情况。 1、拟投入的机械设备数量充足，与项目匹配度高，劳动力配置合理，完全满足项目需要，得5分； 2、拟投入的机械设备数量、与项目基本匹配，劳动力配置较合理，基本满足项目需要，得3分； 3、拟投入的机械设备和劳动力配置简单，无针对性，得1分。未提供不得分。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风险预防及应急预案</w:t>
            </w:r>
          </w:p>
        </w:tc>
        <w:tc>
          <w:tcPr>
            <w:tcW w:type="dxa" w:w="2492"/>
          </w:tcPr>
          <w:p>
            <w:pPr>
              <w:pStyle w:val="null3"/>
            </w:pPr>
            <w:r>
              <w:rPr>
                <w:rFonts w:ascii="仿宋_GB2312" w:hAnsi="仿宋_GB2312" w:cs="仿宋_GB2312" w:eastAsia="仿宋_GB2312"/>
              </w:rPr>
              <w:t>针对本项目提供项目风险预测与防范，事故应急预案。 1、风险预测与防范内容完善，针对性强，预案及措施科学合理可行性强，得5分； 2、风险预测与防范内容较完善，预案及措施有一定针对性和可行性强，得3分； 3、风险预测与防范内容、预案及措施内容简单笼统，无针对性，得1分。未提供不得分。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进度计划和工期目标</w:t>
            </w:r>
          </w:p>
        </w:tc>
        <w:tc>
          <w:tcPr>
            <w:tcW w:type="dxa" w:w="2492"/>
          </w:tcPr>
          <w:p>
            <w:pPr>
              <w:pStyle w:val="null3"/>
            </w:pPr>
            <w:r>
              <w:rPr>
                <w:rFonts w:ascii="仿宋_GB2312" w:hAnsi="仿宋_GB2312" w:cs="仿宋_GB2312" w:eastAsia="仿宋_GB2312"/>
              </w:rPr>
              <w:t>针对本项目提供的项目进度计划和工期目标，项目进度计划和工期目标科学、合理、可行，满足采购人需求。 1、进度计划安排合理、措施有效，工期目标明确，满足采购人要求，得5分；2、进度计划安排较合理、措施较有效，工期目标基本清晰，基本满足采购人要求，得3分； 3、进度计划和工期目标内容简单笼统，无针对性，得1分。未提供不得分。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提供供应商2022年7月1日至今（以合同的签订日期为准）承接过类似项目的合同证明（每提供一个得3分，满分15分）（合同内容须清晰可辨认，无涂改，否则视为无效合同）</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磋商方案说明.docx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磋商报价。2、有效最低报价为磋商基准价。3、磋商报价按（磋商基准价/有效磋商报价）×30的公式计算其得分。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详见附件：磋商方案说明.docx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