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6E68E">
      <w:pPr>
        <w:keepNext w:val="0"/>
        <w:keepLines w:val="0"/>
        <w:pageBreakBefore w:val="0"/>
        <w:widowControl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2025年支持学前教育发展(公办幼儿园建设)项目（室内改造）合同</w:t>
      </w:r>
    </w:p>
    <w:p w14:paraId="1AA5BFD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甲方（采购人）：</w:t>
      </w:r>
    </w:p>
    <w:p w14:paraId="42928FD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乙方（中标人）： </w:t>
      </w:r>
    </w:p>
    <w:p w14:paraId="7E79E98D">
      <w:pPr>
        <w:keepNext w:val="0"/>
        <w:keepLines w:val="0"/>
        <w:pageBreakBefore w:val="0"/>
        <w:widowControl w:val="0"/>
        <w:kinsoku/>
        <w:wordWrap/>
        <w:overflowPunct/>
        <w:topLinePunct w:val="0"/>
        <w:bidi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lang w:val="en-US" w:eastAsia="zh-CN"/>
        </w:rPr>
        <w:t>2025年支持学前教育发展(公办幼儿园建设)项目（室内改造）</w:t>
      </w:r>
      <w:r>
        <w:rPr>
          <w:rFonts w:hint="eastAsia" w:ascii="仿宋" w:hAnsi="仿宋" w:eastAsia="仿宋" w:cs="仿宋"/>
          <w:bCs/>
          <w:color w:val="auto"/>
          <w:sz w:val="24"/>
          <w:szCs w:val="24"/>
          <w:highlight w:val="none"/>
        </w:rPr>
        <w:t>在华夏国际项目管理有限公司组织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u w:val="single"/>
          <w:lang w:eastAsia="zh-CN"/>
        </w:rPr>
        <w:t>西安市雁塔区第三十一幼儿园</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（以下简称“乙方”）为</w:t>
      </w:r>
      <w:r>
        <w:rPr>
          <w:rFonts w:hint="eastAsia" w:ascii="仿宋" w:hAnsi="仿宋" w:eastAsia="仿宋" w:cs="仿宋"/>
          <w:bCs/>
          <w:color w:val="auto"/>
          <w:sz w:val="24"/>
          <w:szCs w:val="24"/>
          <w:highlight w:val="none"/>
          <w:lang w:val="en-US" w:eastAsia="zh-CN"/>
        </w:rPr>
        <w:t>本项目</w:t>
      </w:r>
      <w:r>
        <w:rPr>
          <w:rFonts w:hint="eastAsia" w:ascii="仿宋" w:hAnsi="仿宋" w:eastAsia="仿宋" w:cs="仿宋"/>
          <w:bCs/>
          <w:color w:val="auto"/>
          <w:sz w:val="24"/>
          <w:szCs w:val="24"/>
          <w:highlight w:val="none"/>
        </w:rPr>
        <w:t>的</w:t>
      </w:r>
      <w:r>
        <w:rPr>
          <w:rFonts w:hint="eastAsia" w:ascii="仿宋" w:hAnsi="仿宋" w:eastAsia="仿宋" w:cs="仿宋"/>
          <w:bCs/>
          <w:color w:val="auto"/>
          <w:sz w:val="24"/>
          <w:szCs w:val="24"/>
          <w:highlight w:val="none"/>
          <w:lang w:val="en-US" w:eastAsia="zh-CN"/>
        </w:rPr>
        <w:t>成交单位</w:t>
      </w:r>
      <w:r>
        <w:rPr>
          <w:rFonts w:hint="eastAsia" w:ascii="仿宋" w:hAnsi="仿宋" w:eastAsia="仿宋" w:cs="仿宋"/>
          <w:bCs/>
          <w:color w:val="auto"/>
          <w:sz w:val="24"/>
          <w:szCs w:val="24"/>
          <w:highlight w:val="none"/>
        </w:rPr>
        <w:t>。</w:t>
      </w:r>
    </w:p>
    <w:p w14:paraId="0E972CF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》和《中华人民共和国政府采购法》，经双方协商按下述条款和条件签署本合同。</w:t>
      </w:r>
    </w:p>
    <w:p w14:paraId="3BF25E0A">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6F866C5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元）</w:t>
      </w:r>
      <w:r>
        <w:rPr>
          <w:rFonts w:hint="eastAsia" w:ascii="仿宋" w:hAnsi="仿宋" w:eastAsia="仿宋" w:cs="仿宋"/>
          <w:bCs/>
          <w:color w:val="auto"/>
          <w:sz w:val="24"/>
          <w:szCs w:val="24"/>
          <w:highlight w:val="none"/>
        </w:rPr>
        <w:t>。</w:t>
      </w:r>
    </w:p>
    <w:p w14:paraId="2B52894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eastAsia="zh-CN"/>
        </w:rPr>
        <w:t>工程量清单的全部内容</w:t>
      </w:r>
      <w:r>
        <w:rPr>
          <w:rFonts w:hint="eastAsia" w:ascii="仿宋" w:hAnsi="仿宋" w:eastAsia="仿宋" w:cs="仿宋"/>
          <w:bCs/>
          <w:color w:val="auto"/>
          <w:sz w:val="24"/>
          <w:szCs w:val="24"/>
          <w:highlight w:val="none"/>
        </w:rPr>
        <w:t>，不受市场价变化或实际工作量变化的影响。合同价格为含税价。</w:t>
      </w:r>
    </w:p>
    <w:p w14:paraId="02A39903">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二、结算方式</w:t>
      </w:r>
    </w:p>
    <w:p w14:paraId="521EC84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1、付款条件说明：合同签订后，达到付款条件起</w:t>
      </w:r>
      <w:r>
        <w:rPr>
          <w:rFonts w:hint="eastAsia" w:ascii="仿宋" w:hAnsi="仿宋" w:eastAsia="仿宋" w:cs="仿宋"/>
          <w:bCs/>
          <w:color w:val="auto"/>
          <w:sz w:val="24"/>
          <w:szCs w:val="24"/>
          <w:highlight w:val="none"/>
          <w:lang w:val="en-US" w:eastAsia="zh-CN"/>
        </w:rPr>
        <w:t>15</w:t>
      </w:r>
      <w:r>
        <w:rPr>
          <w:rFonts w:hint="eastAsia" w:ascii="仿宋" w:hAnsi="仿宋" w:eastAsia="仿宋" w:cs="仿宋"/>
          <w:bCs/>
          <w:color w:val="auto"/>
          <w:sz w:val="24"/>
          <w:szCs w:val="24"/>
          <w:highlight w:val="none"/>
          <w:lang w:eastAsia="zh-CN"/>
        </w:rPr>
        <w:t>日内，支付合同总金额的40.00%。</w:t>
      </w:r>
    </w:p>
    <w:p w14:paraId="040315C6">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、付款条件说明：</w:t>
      </w:r>
      <w:r>
        <w:rPr>
          <w:rFonts w:hint="eastAsia" w:ascii="仿宋" w:hAnsi="仿宋" w:eastAsia="仿宋" w:cs="仿宋"/>
          <w:kern w:val="2"/>
          <w:sz w:val="24"/>
          <w:szCs w:val="24"/>
          <w:highlight w:val="none"/>
          <w:lang w:val="zh-CN" w:eastAsia="zh-CN" w:bidi="ar-SA"/>
        </w:rPr>
        <w:t>当承包人完成全部合同工程量、工程竣工，经发包人验收合格，承包人将竣工资料及相关质量证明文件交付发包人</w:t>
      </w:r>
      <w:r>
        <w:rPr>
          <w:rFonts w:hint="eastAsia" w:ascii="仿宋" w:hAnsi="仿宋" w:eastAsia="仿宋" w:cs="仿宋"/>
          <w:kern w:val="2"/>
          <w:sz w:val="24"/>
          <w:szCs w:val="24"/>
          <w:highlight w:val="none"/>
          <w:lang w:val="en-US" w:eastAsia="zh-CN" w:bidi="ar-SA"/>
        </w:rPr>
        <w:t>并</w:t>
      </w:r>
      <w:r>
        <w:rPr>
          <w:rFonts w:hint="eastAsia" w:ascii="仿宋" w:hAnsi="仿宋" w:eastAsia="仿宋" w:cs="仿宋"/>
          <w:kern w:val="2"/>
          <w:sz w:val="24"/>
          <w:szCs w:val="24"/>
          <w:highlight w:val="none"/>
          <w:lang w:val="zh-CN" w:eastAsia="zh-CN" w:bidi="ar-SA"/>
        </w:rPr>
        <w:t>完成工程审计后</w:t>
      </w:r>
      <w:r>
        <w:rPr>
          <w:rFonts w:hint="eastAsia" w:ascii="仿宋" w:hAnsi="仿宋" w:eastAsia="仿宋" w:cs="仿宋"/>
          <w:bCs/>
          <w:color w:val="auto"/>
          <w:sz w:val="24"/>
          <w:szCs w:val="24"/>
          <w:highlight w:val="none"/>
          <w:lang w:eastAsia="zh-CN"/>
        </w:rPr>
        <w:t>，达到付款条件起</w:t>
      </w:r>
      <w:r>
        <w:rPr>
          <w:rFonts w:hint="eastAsia" w:ascii="仿宋" w:hAnsi="仿宋" w:eastAsia="仿宋" w:cs="仿宋"/>
          <w:bCs/>
          <w:color w:val="auto"/>
          <w:sz w:val="24"/>
          <w:szCs w:val="24"/>
          <w:highlight w:val="none"/>
          <w:lang w:val="en-US" w:eastAsia="zh-CN"/>
        </w:rPr>
        <w:t>20</w:t>
      </w:r>
      <w:r>
        <w:rPr>
          <w:rFonts w:hint="eastAsia" w:ascii="仿宋" w:hAnsi="仿宋" w:eastAsia="仿宋" w:cs="仿宋"/>
          <w:bCs/>
          <w:color w:val="auto"/>
          <w:sz w:val="24"/>
          <w:szCs w:val="24"/>
          <w:highlight w:val="none"/>
          <w:lang w:eastAsia="zh-CN"/>
        </w:rPr>
        <w:t>日内，付至最终审定决算价款。</w:t>
      </w:r>
    </w:p>
    <w:p w14:paraId="0598813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lang w:eastAsia="zh-CN"/>
        </w:rPr>
        <w:t>每次付款前中标单位须提供等额正规发票，最后一次付款时应提供剩余款项全额正规发票。</w:t>
      </w:r>
    </w:p>
    <w:p w14:paraId="3753D131">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1FBE819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（一）实施地点：</w:t>
      </w:r>
      <w:bookmarkStart w:id="0" w:name="_GoBack"/>
      <w:bookmarkEnd w:id="0"/>
      <w:r>
        <w:rPr>
          <w:rFonts w:hint="eastAsia" w:ascii="仿宋" w:hAnsi="仿宋" w:eastAsia="仿宋" w:cs="仿宋"/>
          <w:bCs/>
          <w:color w:val="auto"/>
          <w:sz w:val="24"/>
          <w:szCs w:val="24"/>
          <w:highlight w:val="none"/>
          <w:lang w:eastAsia="zh-CN"/>
        </w:rPr>
        <w:t>西安市雁塔区第三十一幼儿园</w:t>
      </w:r>
    </w:p>
    <w:p w14:paraId="03F68BB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（二）工期：自合同签订之日起</w:t>
      </w:r>
      <w:r>
        <w:rPr>
          <w:rFonts w:hint="eastAsia" w:ascii="仿宋" w:hAnsi="仿宋" w:eastAsia="仿宋" w:cs="仿宋"/>
          <w:bCs/>
          <w:color w:val="auto"/>
          <w:sz w:val="24"/>
          <w:szCs w:val="24"/>
          <w:highlight w:val="none"/>
          <w:lang w:val="en-US" w:eastAsia="zh-CN"/>
        </w:rPr>
        <w:t>25</w:t>
      </w:r>
      <w:r>
        <w:rPr>
          <w:rFonts w:hint="eastAsia" w:ascii="仿宋" w:hAnsi="仿宋" w:eastAsia="仿宋" w:cs="仿宋"/>
          <w:bCs/>
          <w:color w:val="auto"/>
          <w:sz w:val="24"/>
          <w:szCs w:val="24"/>
          <w:highlight w:val="none"/>
        </w:rPr>
        <w:t>日历日。</w:t>
      </w:r>
    </w:p>
    <w:p w14:paraId="388EA205">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kern w:val="2"/>
          <w:sz w:val="24"/>
          <w:szCs w:val="24"/>
          <w:highlight w:val="none"/>
          <w:lang w:val="en-US" w:eastAsia="zh-CN" w:bidi="ar-SA"/>
        </w:rPr>
        <w:t>（三）质量保修期：2年；</w:t>
      </w:r>
    </w:p>
    <w:p w14:paraId="1A967768">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201F291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1FAC169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350BD73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p w14:paraId="7189CD31">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63119E6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52187A1F">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16705832">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2、组织设计、设计变更及现场签证，工程结算的审定等工作。</w:t>
      </w:r>
    </w:p>
    <w:p w14:paraId="155572AD">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7D261231">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0ACFC64C">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27C0ABFF">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（二）乙方责任：</w:t>
      </w:r>
    </w:p>
    <w:p w14:paraId="5B7C6F1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78518C6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73B94FE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570F10D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37BBF5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28EC2FA1">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 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4C930779">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7F1AA9D1">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u w:val="single"/>
          <w:lang w:val="en-US" w:eastAsia="zh-CN"/>
        </w:rPr>
        <w:t>二</w:t>
      </w:r>
      <w:r>
        <w:rPr>
          <w:rFonts w:hint="eastAsia" w:ascii="仿宋" w:hAnsi="仿宋" w:eastAsia="仿宋" w:cs="仿宋"/>
          <w:color w:val="auto"/>
          <w:sz w:val="24"/>
          <w:szCs w:val="24"/>
          <w:highlight w:val="none"/>
        </w:rPr>
        <w:t>套，办理工程竣工结算手续，参加工程竣工验收。</w:t>
      </w:r>
    </w:p>
    <w:p w14:paraId="6D2B0BB5">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2838A8D7">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1BB2C4A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52C57E3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p w14:paraId="73A6CCE1">
      <w:pPr>
        <w:keepNext w:val="0"/>
        <w:keepLines w:val="0"/>
        <w:pageBreakBefore w:val="0"/>
        <w:widowControl w:val="0"/>
        <w:kinsoku/>
        <w:wordWrap/>
        <w:overflowPunct/>
        <w:topLinePunct w:val="0"/>
        <w:bidi w:val="0"/>
        <w:spacing w:line="360" w:lineRule="auto"/>
        <w:ind w:firstLine="482" w:firstLineChars="200"/>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3FC71EB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3610FFD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7E9BA1D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0AE6247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3A812E0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r>
        <w:rPr>
          <w:rFonts w:hint="eastAsia" w:ascii="仿宋" w:hAnsi="仿宋" w:eastAsia="仿宋" w:cs="仿宋"/>
          <w:color w:val="auto"/>
          <w:sz w:val="24"/>
          <w:szCs w:val="24"/>
          <w:highlight w:val="none"/>
        </w:rPr>
        <w:t>清单表</w:t>
      </w:r>
    </w:p>
    <w:p w14:paraId="045CDE7B">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3434AE38">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5B67922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6618058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11807B6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207CFE6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400C561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14BC6A1B">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15262ABC">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八、争议的解决方式</w:t>
      </w:r>
    </w:p>
    <w:p w14:paraId="289696C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p w14:paraId="4E8D66F0">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219C6E2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3604CC7B">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十、附则</w:t>
      </w:r>
    </w:p>
    <w:p w14:paraId="71479FB3">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份，正本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份，副本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p>
    <w:p w14:paraId="67B0536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5"/>
        <w:tblW w:w="8403" w:type="dxa"/>
        <w:jc w:val="center"/>
        <w:tblLayout w:type="fixed"/>
        <w:tblCellMar>
          <w:top w:w="0" w:type="dxa"/>
          <w:left w:w="108" w:type="dxa"/>
          <w:bottom w:w="0" w:type="dxa"/>
          <w:right w:w="108" w:type="dxa"/>
        </w:tblCellMar>
      </w:tblPr>
      <w:tblGrid>
        <w:gridCol w:w="4201"/>
        <w:gridCol w:w="4202"/>
      </w:tblGrid>
      <w:tr w14:paraId="42F53739">
        <w:tblPrEx>
          <w:tblCellMar>
            <w:top w:w="0" w:type="dxa"/>
            <w:left w:w="108" w:type="dxa"/>
            <w:bottom w:w="0" w:type="dxa"/>
            <w:right w:w="108" w:type="dxa"/>
          </w:tblCellMar>
        </w:tblPrEx>
        <w:trPr>
          <w:trHeight w:val="567" w:hRule="exact"/>
          <w:jc w:val="center"/>
        </w:trPr>
        <w:tc>
          <w:tcPr>
            <w:tcW w:w="4201" w:type="dxa"/>
            <w:noWrap/>
            <w:vAlign w:val="center"/>
          </w:tcPr>
          <w:p w14:paraId="6D145D6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p>
        </w:tc>
        <w:tc>
          <w:tcPr>
            <w:tcW w:w="4202" w:type="dxa"/>
            <w:noWrap/>
            <w:vAlign w:val="center"/>
          </w:tcPr>
          <w:p w14:paraId="14EF38C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  方</w:t>
            </w:r>
          </w:p>
        </w:tc>
      </w:tr>
      <w:tr w14:paraId="1EBC5750">
        <w:tblPrEx>
          <w:tblCellMar>
            <w:top w:w="0" w:type="dxa"/>
            <w:left w:w="108" w:type="dxa"/>
            <w:bottom w:w="0" w:type="dxa"/>
            <w:right w:w="108" w:type="dxa"/>
          </w:tblCellMar>
        </w:tblPrEx>
        <w:trPr>
          <w:trHeight w:val="567" w:hRule="exact"/>
          <w:jc w:val="center"/>
        </w:trPr>
        <w:tc>
          <w:tcPr>
            <w:tcW w:w="4201" w:type="dxa"/>
            <w:noWrap/>
            <w:vAlign w:val="center"/>
          </w:tcPr>
          <w:p w14:paraId="111E949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4202" w:type="dxa"/>
            <w:noWrap/>
            <w:vAlign w:val="center"/>
          </w:tcPr>
          <w:p w14:paraId="3F76D81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6C07CA84">
        <w:tblPrEx>
          <w:tblCellMar>
            <w:top w:w="0" w:type="dxa"/>
            <w:left w:w="108" w:type="dxa"/>
            <w:bottom w:w="0" w:type="dxa"/>
            <w:right w:w="108" w:type="dxa"/>
          </w:tblCellMar>
        </w:tblPrEx>
        <w:trPr>
          <w:trHeight w:val="567" w:hRule="exact"/>
          <w:jc w:val="center"/>
        </w:trPr>
        <w:tc>
          <w:tcPr>
            <w:tcW w:w="4201" w:type="dxa"/>
            <w:noWrap/>
            <w:vAlign w:val="center"/>
          </w:tcPr>
          <w:p w14:paraId="7187393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 </w:t>
            </w:r>
          </w:p>
        </w:tc>
        <w:tc>
          <w:tcPr>
            <w:tcW w:w="4202" w:type="dxa"/>
            <w:noWrap/>
            <w:vAlign w:val="center"/>
          </w:tcPr>
          <w:p w14:paraId="5281EED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526CFD6B">
        <w:tblPrEx>
          <w:tblCellMar>
            <w:top w:w="0" w:type="dxa"/>
            <w:left w:w="108" w:type="dxa"/>
            <w:bottom w:w="0" w:type="dxa"/>
            <w:right w:w="108" w:type="dxa"/>
          </w:tblCellMar>
        </w:tblPrEx>
        <w:trPr>
          <w:trHeight w:val="567" w:hRule="exact"/>
          <w:jc w:val="center"/>
        </w:trPr>
        <w:tc>
          <w:tcPr>
            <w:tcW w:w="4201" w:type="dxa"/>
            <w:noWrap/>
            <w:vAlign w:val="center"/>
          </w:tcPr>
          <w:p w14:paraId="49FCAE4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4202" w:type="dxa"/>
            <w:noWrap/>
            <w:vAlign w:val="center"/>
          </w:tcPr>
          <w:p w14:paraId="37C892B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614A5423">
        <w:tblPrEx>
          <w:tblCellMar>
            <w:top w:w="0" w:type="dxa"/>
            <w:left w:w="108" w:type="dxa"/>
            <w:bottom w:w="0" w:type="dxa"/>
            <w:right w:w="108" w:type="dxa"/>
          </w:tblCellMar>
        </w:tblPrEx>
        <w:trPr>
          <w:trHeight w:val="567" w:hRule="exact"/>
          <w:jc w:val="center"/>
        </w:trPr>
        <w:tc>
          <w:tcPr>
            <w:tcW w:w="4201" w:type="dxa"/>
            <w:noWrap/>
            <w:vAlign w:val="center"/>
          </w:tcPr>
          <w:p w14:paraId="1AFC554B">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 </w:t>
            </w:r>
          </w:p>
        </w:tc>
        <w:tc>
          <w:tcPr>
            <w:tcW w:w="4202" w:type="dxa"/>
            <w:noWrap/>
            <w:vAlign w:val="center"/>
          </w:tcPr>
          <w:p w14:paraId="7C3B2E6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107CBCCB">
        <w:tblPrEx>
          <w:tblCellMar>
            <w:top w:w="0" w:type="dxa"/>
            <w:left w:w="108" w:type="dxa"/>
            <w:bottom w:w="0" w:type="dxa"/>
            <w:right w:w="108" w:type="dxa"/>
          </w:tblCellMar>
        </w:tblPrEx>
        <w:trPr>
          <w:trHeight w:val="567" w:hRule="exact"/>
          <w:jc w:val="center"/>
        </w:trPr>
        <w:tc>
          <w:tcPr>
            <w:tcW w:w="4201" w:type="dxa"/>
            <w:noWrap/>
            <w:vAlign w:val="center"/>
          </w:tcPr>
          <w:p w14:paraId="0257B07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tc>
        <w:tc>
          <w:tcPr>
            <w:tcW w:w="4202" w:type="dxa"/>
            <w:noWrap/>
            <w:vAlign w:val="center"/>
          </w:tcPr>
          <w:p w14:paraId="3EB04DF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tc>
      </w:tr>
      <w:tr w14:paraId="1B54856C">
        <w:tblPrEx>
          <w:tblCellMar>
            <w:top w:w="0" w:type="dxa"/>
            <w:left w:w="108" w:type="dxa"/>
            <w:bottom w:w="0" w:type="dxa"/>
            <w:right w:w="108" w:type="dxa"/>
          </w:tblCellMar>
        </w:tblPrEx>
        <w:trPr>
          <w:trHeight w:val="567" w:hRule="exact"/>
          <w:jc w:val="center"/>
        </w:trPr>
        <w:tc>
          <w:tcPr>
            <w:tcW w:w="4201" w:type="dxa"/>
            <w:noWrap/>
            <w:vAlign w:val="center"/>
          </w:tcPr>
          <w:p w14:paraId="72D07C3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4202" w:type="dxa"/>
            <w:noWrap/>
            <w:vAlign w:val="center"/>
          </w:tcPr>
          <w:p w14:paraId="53E12BF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4F3FC026">
        <w:tblPrEx>
          <w:tblCellMar>
            <w:top w:w="0" w:type="dxa"/>
            <w:left w:w="108" w:type="dxa"/>
            <w:bottom w:w="0" w:type="dxa"/>
            <w:right w:w="108" w:type="dxa"/>
          </w:tblCellMar>
        </w:tblPrEx>
        <w:trPr>
          <w:trHeight w:val="567" w:hRule="exact"/>
          <w:jc w:val="center"/>
        </w:trPr>
        <w:tc>
          <w:tcPr>
            <w:tcW w:w="4201" w:type="dxa"/>
            <w:noWrap/>
            <w:vAlign w:val="center"/>
          </w:tcPr>
          <w:p w14:paraId="5B92058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4202" w:type="dxa"/>
            <w:noWrap/>
            <w:vAlign w:val="center"/>
          </w:tcPr>
          <w:p w14:paraId="1948F10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7C22C660">
        <w:tblPrEx>
          <w:tblCellMar>
            <w:top w:w="0" w:type="dxa"/>
            <w:left w:w="108" w:type="dxa"/>
            <w:bottom w:w="0" w:type="dxa"/>
            <w:right w:w="108" w:type="dxa"/>
          </w:tblCellMar>
        </w:tblPrEx>
        <w:trPr>
          <w:trHeight w:val="567" w:hRule="exact"/>
          <w:jc w:val="center"/>
        </w:trPr>
        <w:tc>
          <w:tcPr>
            <w:tcW w:w="4201" w:type="dxa"/>
            <w:noWrap/>
            <w:vAlign w:val="center"/>
          </w:tcPr>
          <w:p w14:paraId="03026B9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4202" w:type="dxa"/>
            <w:noWrap/>
            <w:vAlign w:val="center"/>
          </w:tcPr>
          <w:p w14:paraId="527E8BB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r>
      <w:tr w14:paraId="3918FD6A">
        <w:tblPrEx>
          <w:tblCellMar>
            <w:top w:w="0" w:type="dxa"/>
            <w:left w:w="108" w:type="dxa"/>
            <w:bottom w:w="0" w:type="dxa"/>
            <w:right w:w="108" w:type="dxa"/>
          </w:tblCellMar>
        </w:tblPrEx>
        <w:trPr>
          <w:trHeight w:val="567" w:hRule="exact"/>
          <w:jc w:val="center"/>
        </w:trPr>
        <w:tc>
          <w:tcPr>
            <w:tcW w:w="4201" w:type="dxa"/>
            <w:noWrap/>
            <w:vAlign w:val="center"/>
          </w:tcPr>
          <w:p w14:paraId="7898435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c>
          <w:tcPr>
            <w:tcW w:w="4202" w:type="dxa"/>
            <w:noWrap/>
            <w:vAlign w:val="center"/>
          </w:tcPr>
          <w:p w14:paraId="3E5129E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r>
    </w:tbl>
    <w:p w14:paraId="55B93C4A">
      <w:pPr>
        <w:pStyle w:val="8"/>
        <w:rPr>
          <w:rFonts w:hint="eastAsia" w:ascii="仿宋" w:hAnsi="仿宋" w:eastAsia="仿宋" w:cs="仿宋"/>
          <w:lang w:val="en-US" w:eastAsia="zh-Hans"/>
        </w:rPr>
      </w:pPr>
    </w:p>
    <w:p w14:paraId="08E741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0E7FBB"/>
    <w:rsid w:val="11F94D13"/>
    <w:rsid w:val="1A5E5F47"/>
    <w:rsid w:val="31812F8D"/>
    <w:rsid w:val="410E7FBB"/>
    <w:rsid w:val="514567F8"/>
    <w:rsid w:val="5D6877D9"/>
    <w:rsid w:val="5EF01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7"/>
    <w:qFormat/>
    <w:uiPriority w:val="0"/>
    <w:pPr>
      <w:keepNext/>
      <w:keepLines/>
      <w:spacing w:line="360" w:lineRule="auto"/>
      <w:jc w:val="center"/>
      <w:outlineLvl w:val="0"/>
    </w:pPr>
    <w:rPr>
      <w:rFonts w:ascii="Times New Roman" w:hAnsi="Times New Roman" w:eastAsia="宋体"/>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Indent"/>
    <w:basedOn w:val="1"/>
    <w:next w:val="1"/>
    <w:qFormat/>
    <w:uiPriority w:val="99"/>
    <w:pPr>
      <w:spacing w:line="360" w:lineRule="auto"/>
      <w:ind w:left="424" w:leftChars="202" w:firstLine="567"/>
    </w:pPr>
    <w:rPr>
      <w:sz w:val="24"/>
      <w:szCs w:val="24"/>
    </w:rPr>
  </w:style>
  <w:style w:type="paragraph" w:styleId="4">
    <w:name w:val="Body Text First Indent 2"/>
    <w:basedOn w:val="3"/>
    <w:next w:val="1"/>
    <w:qFormat/>
    <w:uiPriority w:val="0"/>
    <w:pPr>
      <w:ind w:firstLine="420" w:firstLineChars="200"/>
    </w:pPr>
  </w:style>
  <w:style w:type="character" w:customStyle="1" w:styleId="7">
    <w:name w:val=" Char Char5"/>
    <w:link w:val="2"/>
    <w:qFormat/>
    <w:uiPriority w:val="0"/>
    <w:rPr>
      <w:rFonts w:ascii="Times New Roman" w:hAnsi="Times New Roman" w:eastAsia="宋体"/>
      <w:b/>
      <w:kern w:val="44"/>
      <w:sz w:val="4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2122</Words>
  <Characters>2152</Characters>
  <Lines>0</Lines>
  <Paragraphs>0</Paragraphs>
  <TotalTime>0</TotalTime>
  <ScaleCrop>false</ScaleCrop>
  <LinksUpToDate>false</LinksUpToDate>
  <CharactersWithSpaces>2202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2025-06-09T00:57:00Z</dcterms:created>
  <dc:creator>墨瞳</dc:creator>
  <cp:lastModifiedBy>1</cp:lastModifiedBy>
  <dcterms:modified xsi:type="dcterms:W3CDTF">2025-07-10T05:30:29Z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7265881701FF4CEA9658AFB5372D1ED9_11</vt:lpwstr>
  </property>
  <property fmtid="{D5CDD505-2E9C-101B-9397-08002B2CF9AE}" pid="4" name="KSOTemplateDocerSaveRecord">
    <vt:lpwstr>eyJoZGlkIjoiYWRjNjA3YjNkZTkyNDk4OTI5YWU2YmU2MzVkMmI4MTAiLCJ1c2VySWQiOiI0ODU3MDc4MjgifQ==</vt:lpwstr>
  </property>
</Properties>
</file>