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版本号：GXZB2025-061Z20250717001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2025年支持学前教育发展资金（公办幼儿园建设）改扩建园舍项目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GXZB2025-061Z</w:t>
      </w:r>
      <w:r>
        <w:br/>
      </w:r>
      <w:r>
        <w:br/>
      </w:r>
      <w:r>
        <w:br/>
      </w:r>
    </w:p>
    <w:p>
      <w:pPr>
        <w:pStyle w:val="null3"/>
        <w:jc w:val="center"/>
        <w:outlineLvl w:val="2"/>
      </w:pPr>
      <w:r>
        <w:rPr>
          <w:rFonts w:ascii="仿宋_GB2312" w:hAnsi="仿宋_GB2312" w:cs="仿宋_GB2312" w:eastAsia="仿宋_GB2312"/>
          <w:sz w:val="28"/>
          <w:b/>
        </w:rPr>
        <w:t>西安市雁塔区第二十四幼儿园</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西安市雁塔区第二十四幼儿园</w:t>
      </w:r>
      <w:r>
        <w:rPr>
          <w:rFonts w:ascii="仿宋_GB2312" w:hAnsi="仿宋_GB2312" w:cs="仿宋_GB2312" w:eastAsia="仿宋_GB2312"/>
        </w:rPr>
        <w:t>委托，拟对</w:t>
      </w:r>
      <w:r>
        <w:rPr>
          <w:rFonts w:ascii="仿宋_GB2312" w:hAnsi="仿宋_GB2312" w:cs="仿宋_GB2312" w:eastAsia="仿宋_GB2312"/>
        </w:rPr>
        <w:t>2025年支持学前教育发展资金（公办幼儿园建设）改扩建园舍项目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GXZB2025-061Z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2025年支持学前教育发展资金（公办幼儿园建设）改扩建园舍项目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2025年支持学前教育发展资金（公办幼儿园建设）改扩建园舍项目，具体详见竞争性磋商文件。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采购包1（西安市雁塔区第二十四幼儿园2025年支持学前教育发展资金（公办幼儿园建设） 改扩建园舍项目）：属于专门面向中小企业采购。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法缴纳税收和社会保障资金的良好记录：依法缴纳税收和社会保障资金的良好记录。依法缴纳税收的良好记录（提供截止至磋商时间前12个月内任一月份的缴费凭据,依法免税的单位应提供相关证明材料）；依法缴纳社会保障资金的良好记录（提供截止至磋商时间前12个月内任一月份的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2、财务状况报告：须提供2024年度财务报告；或其基本开户银行出具的资信证明；或磋商担保函（以上三种形式的资料提供任何一种即可）</w:t>
      </w:r>
    </w:p>
    <w:p>
      <w:pPr>
        <w:pStyle w:val="null3"/>
      </w:pPr>
      <w:r>
        <w:rPr>
          <w:rFonts w:ascii="仿宋_GB2312" w:hAnsi="仿宋_GB2312" w:cs="仿宋_GB2312" w:eastAsia="仿宋_GB2312"/>
        </w:rPr>
        <w:t>3、有效的资格主体证明：供应商须具备独立承担民事责任能力的法人、其他组织或自然人，提供营业执照/事业单位法人证书/非企业专业服务机构执业许可证/自然人身份证；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4、资质证书：供应商须具备建筑装修装饰工程专业承包二级及以上资质，具有有效的安全生产许可证。</w:t>
      </w:r>
    </w:p>
    <w:p>
      <w:pPr>
        <w:pStyle w:val="null3"/>
      </w:pPr>
      <w:r>
        <w:rPr>
          <w:rFonts w:ascii="仿宋_GB2312" w:hAnsi="仿宋_GB2312" w:cs="仿宋_GB2312" w:eastAsia="仿宋_GB2312"/>
        </w:rPr>
        <w:t>5、项目负责人：拟派项目负责人须提供在本单位注册的建筑工程专业贰级（含贰级）以上注册建造师证书及安全生产考核合格证（B证），且无在建项目；</w:t>
      </w:r>
    </w:p>
    <w:p>
      <w:pPr>
        <w:pStyle w:val="null3"/>
      </w:pPr>
      <w:r>
        <w:rPr>
          <w:rFonts w:ascii="仿宋_GB2312" w:hAnsi="仿宋_GB2312" w:cs="仿宋_GB2312" w:eastAsia="仿宋_GB2312"/>
        </w:rPr>
        <w:t>6、信息查询：供应商基本信息及项目经理基本信息在”陕西省住房和城乡建设厅（http://js.shaanxi.gov.cn/）”可查询。</w:t>
      </w:r>
    </w:p>
    <w:p>
      <w:pPr>
        <w:pStyle w:val="null3"/>
      </w:pPr>
      <w:r>
        <w:rPr>
          <w:rFonts w:ascii="仿宋_GB2312" w:hAnsi="仿宋_GB2312" w:cs="仿宋_GB2312" w:eastAsia="仿宋_GB2312"/>
        </w:rPr>
        <w:t>7、法定代表人授权书：法定代表人授权书及被授权人身份证（法定代表人直接参加磋商的须提供其法定代表人身份证，被授权人参加磋商的须出具法定代表人授权书及本单位的社保缴纳证明）；</w:t>
      </w:r>
    </w:p>
    <w:p>
      <w:pPr>
        <w:pStyle w:val="null3"/>
      </w:pPr>
      <w:r>
        <w:rPr>
          <w:rFonts w:ascii="仿宋_GB2312" w:hAnsi="仿宋_GB2312" w:cs="仿宋_GB2312" w:eastAsia="仿宋_GB2312"/>
        </w:rPr>
        <w:t>8、书面声明：供应商参加政府采购活动前3年内在经营活动中没有重大违法记录的书面声明；</w:t>
      </w:r>
    </w:p>
    <w:p>
      <w:pPr>
        <w:pStyle w:val="null3"/>
      </w:pPr>
      <w:r>
        <w:rPr>
          <w:rFonts w:ascii="仿宋_GB2312" w:hAnsi="仿宋_GB2312" w:cs="仿宋_GB2312" w:eastAsia="仿宋_GB2312"/>
        </w:rPr>
        <w:t>9、承诺书：提供具有履行合同所必需的设备和专业技术能力的承诺；</w:t>
      </w:r>
    </w:p>
    <w:p>
      <w:pPr>
        <w:pStyle w:val="null3"/>
      </w:pPr>
      <w:r>
        <w:rPr>
          <w:rFonts w:ascii="仿宋_GB2312" w:hAnsi="仿宋_GB2312" w:cs="仿宋_GB2312" w:eastAsia="仿宋_GB2312"/>
        </w:rPr>
        <w:t>10、控股管理关系：控股管理关系：单位负责人为同一人或者存在直接控股、管理关系的供应商，不得参加同一合同下的政府采购活动；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11、中小企业声明函：本项目为专门面向中小企业采购项目，供应商应为中型企业或小型企业，监狱企业或残疾人福利性单位。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西安市雁塔区第二十四幼儿园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西安市雁塔区书香路书香林苑小区内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18991162498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陕西省西安市曲江新区旺座曲江B座3105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孙翠、高丹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说明：由采购单位自行收退</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参照《国家计委关于印发&lt;招标代理服务收费管理暂行办法&gt;的通知》（计价格[2002]1980号）和国家发改委办公厅颁发的《关于招标代理服务收费有关问题的通知》（发改办价格【2003】857号）的有关规定收取。由中标（成交）单位在领取中标（成交）通知书前一次性向采购代理机构支付。 缴纳账户： 名 称：陕西国信招标有限公司 开户行：西安银行股份有限公司咸宁中路支行 账 号：4120 1158 00000 61474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西安市雁塔区第二十四幼儿园</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西安市雁塔区第二十四幼儿园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西安市雁塔区第二十四幼儿园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联系人：高丹、孙翠</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地址：陕西省西安市曲江新区旺座曲江B座3105</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899,030.64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幼儿园厨房水电路、户外沙池、水池、绿化带等改扩建</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标的名称：幼儿园厨房水电路、户外沙池、水池、绿化带等改扩建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80"/>
              <w:jc w:val="both"/>
            </w:pPr>
            <w:r>
              <w:rPr>
                <w:rFonts w:ascii="仿宋_GB2312" w:hAnsi="仿宋_GB2312" w:cs="仿宋_GB2312" w:eastAsia="仿宋_GB2312"/>
                <w:sz w:val="28"/>
              </w:rPr>
              <w:t>一、项目概况</w:t>
            </w:r>
          </w:p>
          <w:p>
            <w:pPr>
              <w:pStyle w:val="null3"/>
              <w:ind w:firstLine="560"/>
              <w:jc w:val="both"/>
            </w:pPr>
            <w:r>
              <w:rPr>
                <w:rFonts w:ascii="仿宋_GB2312" w:hAnsi="仿宋_GB2312" w:cs="仿宋_GB2312" w:eastAsia="仿宋_GB2312"/>
                <w:sz w:val="28"/>
              </w:rPr>
              <w:t>为进一步提升幼儿园的实用性、功能性，现针对进行</w:t>
            </w:r>
            <w:r>
              <w:rPr>
                <w:rFonts w:ascii="仿宋_GB2312" w:hAnsi="仿宋_GB2312" w:cs="仿宋_GB2312" w:eastAsia="仿宋_GB2312"/>
                <w:sz w:val="28"/>
              </w:rPr>
              <w:t>室外零星改造工程</w:t>
            </w:r>
            <w:r>
              <w:rPr>
                <w:rFonts w:ascii="仿宋_GB2312" w:hAnsi="仿宋_GB2312" w:cs="仿宋_GB2312" w:eastAsia="仿宋_GB2312"/>
                <w:sz w:val="28"/>
              </w:rPr>
              <w:t>，其中共包含</w:t>
            </w:r>
            <w:r>
              <w:rPr>
                <w:rFonts w:ascii="仿宋_GB2312" w:hAnsi="仿宋_GB2312" w:cs="仿宋_GB2312" w:eastAsia="仿宋_GB2312"/>
                <w:sz w:val="28"/>
              </w:rPr>
              <w:t>八</w:t>
            </w:r>
            <w:r>
              <w:rPr>
                <w:rFonts w:ascii="仿宋_GB2312" w:hAnsi="仿宋_GB2312" w:cs="仿宋_GB2312" w:eastAsia="仿宋_GB2312"/>
                <w:sz w:val="28"/>
              </w:rPr>
              <w:t>个单项工程（包括</w:t>
            </w:r>
            <w:r>
              <w:rPr>
                <w:rFonts w:ascii="仿宋_GB2312" w:hAnsi="仿宋_GB2312" w:cs="仿宋_GB2312" w:eastAsia="仿宋_GB2312"/>
                <w:sz w:val="28"/>
              </w:rPr>
              <w:t>1、紫外线灯，2、保健室、隔离室改造项目，3</w:t>
            </w:r>
            <w:r>
              <w:rPr>
                <w:rFonts w:ascii="仿宋_GB2312" w:hAnsi="仿宋_GB2312" w:cs="仿宋_GB2312" w:eastAsia="仿宋_GB2312"/>
                <w:sz w:val="28"/>
              </w:rPr>
              <w:t>、</w:t>
            </w:r>
            <w:r>
              <w:rPr>
                <w:rFonts w:ascii="仿宋_GB2312" w:hAnsi="仿宋_GB2312" w:cs="仿宋_GB2312" w:eastAsia="仿宋_GB2312"/>
                <w:sz w:val="28"/>
              </w:rPr>
              <w:t>铺设地胶，</w:t>
            </w:r>
            <w:r>
              <w:rPr>
                <w:rFonts w:ascii="仿宋_GB2312" w:hAnsi="仿宋_GB2312" w:cs="仿宋_GB2312" w:eastAsia="仿宋_GB2312"/>
                <w:sz w:val="28"/>
              </w:rPr>
              <w:t>4、门窗更换，5、盥洗室</w:t>
            </w:r>
            <w:r>
              <w:rPr>
                <w:rFonts w:ascii="仿宋_GB2312" w:hAnsi="仿宋_GB2312" w:cs="仿宋_GB2312" w:eastAsia="仿宋_GB2312"/>
                <w:sz w:val="28"/>
              </w:rPr>
              <w:t>，</w:t>
            </w:r>
            <w:r>
              <w:rPr>
                <w:rFonts w:ascii="仿宋_GB2312" w:hAnsi="仿宋_GB2312" w:cs="仿宋_GB2312" w:eastAsia="仿宋_GB2312"/>
                <w:sz w:val="28"/>
              </w:rPr>
              <w:t>6、室内照明更换，7、室外改造部分，8、厨房改造</w:t>
            </w:r>
            <w:r>
              <w:rPr>
                <w:rFonts w:ascii="仿宋_GB2312" w:hAnsi="仿宋_GB2312" w:cs="仿宋_GB2312" w:eastAsia="仿宋_GB2312"/>
                <w:sz w:val="28"/>
              </w:rPr>
              <w:t>）</w:t>
            </w:r>
            <w:r>
              <w:rPr>
                <w:rFonts w:ascii="仿宋_GB2312" w:hAnsi="仿宋_GB2312" w:cs="仿宋_GB2312" w:eastAsia="仿宋_GB2312"/>
                <w:sz w:val="28"/>
              </w:rPr>
              <w:t>。</w:t>
            </w:r>
          </w:p>
          <w:p>
            <w:pPr>
              <w:pStyle w:val="null3"/>
              <w:ind w:firstLine="280"/>
              <w:jc w:val="both"/>
            </w:pPr>
            <w:r>
              <w:rPr>
                <w:rFonts w:ascii="仿宋_GB2312" w:hAnsi="仿宋_GB2312" w:cs="仿宋_GB2312" w:eastAsia="仿宋_GB2312"/>
                <w:sz w:val="28"/>
              </w:rPr>
              <w:t>二、工程内容和施工地点、计划工期、缺陷责任期、质量保修期</w:t>
            </w:r>
          </w:p>
          <w:p>
            <w:pPr>
              <w:pStyle w:val="null3"/>
              <w:ind w:firstLine="560"/>
              <w:jc w:val="both"/>
            </w:pPr>
            <w:r>
              <w:rPr>
                <w:rFonts w:ascii="仿宋_GB2312" w:hAnsi="仿宋_GB2312" w:cs="仿宋_GB2312" w:eastAsia="仿宋_GB2312"/>
                <w:sz w:val="28"/>
              </w:rPr>
              <w:t>（一）工程内容：</w:t>
            </w:r>
            <w:r>
              <w:rPr>
                <w:rFonts w:ascii="仿宋_GB2312" w:hAnsi="仿宋_GB2312" w:cs="仿宋_GB2312" w:eastAsia="仿宋_GB2312"/>
                <w:sz w:val="28"/>
              </w:rPr>
              <w:t>主要包括：</w:t>
            </w:r>
            <w:r>
              <w:rPr>
                <w:rFonts w:ascii="仿宋_GB2312" w:hAnsi="仿宋_GB2312" w:cs="仿宋_GB2312" w:eastAsia="仿宋_GB2312"/>
                <w:sz w:val="28"/>
              </w:rPr>
              <w:t>1、教室内敷设紫外线消毒灯，2、保健室、隔离室局部改造，3、教室、走廊公共区域铺设塑胶地板，4、教室、办公室门更换，5、盥洗室局部</w:t>
            </w:r>
            <w:r>
              <w:rPr>
                <w:rFonts w:ascii="仿宋_GB2312" w:hAnsi="仿宋_GB2312" w:cs="仿宋_GB2312" w:eastAsia="仿宋_GB2312"/>
                <w:sz w:val="28"/>
              </w:rPr>
              <w:t>改造（</w:t>
            </w:r>
            <w:r>
              <w:rPr>
                <w:rFonts w:ascii="仿宋_GB2312" w:hAnsi="仿宋_GB2312" w:cs="仿宋_GB2312" w:eastAsia="仿宋_GB2312"/>
                <w:sz w:val="28"/>
              </w:rPr>
              <w:t>小挂便、洗手台改造</w:t>
            </w:r>
            <w:r>
              <w:rPr>
                <w:rFonts w:ascii="仿宋_GB2312" w:hAnsi="仿宋_GB2312" w:cs="仿宋_GB2312" w:eastAsia="仿宋_GB2312"/>
                <w:sz w:val="28"/>
              </w:rPr>
              <w:t>），</w:t>
            </w:r>
            <w:r>
              <w:rPr>
                <w:rFonts w:ascii="仿宋_GB2312" w:hAnsi="仿宋_GB2312" w:cs="仿宋_GB2312" w:eastAsia="仿宋_GB2312"/>
                <w:sz w:val="28"/>
              </w:rPr>
              <w:t>6、教室内更换照明灯，7、室外局部改造（围栏加高、大门口地面铺装、后院沙水区改造），8、厨房局部改造。</w:t>
            </w:r>
            <w:r>
              <w:rPr>
                <w:rFonts w:ascii="仿宋_GB2312" w:hAnsi="仿宋_GB2312" w:cs="仿宋_GB2312" w:eastAsia="仿宋_GB2312"/>
                <w:sz w:val="28"/>
              </w:rPr>
              <w:t>要求：所有工程施工到位、质量合格（标准符合国家（行业）强制性标准及采购人要求），功能齐全，美观大方、验收合格达到交钥匙工程。</w:t>
            </w:r>
          </w:p>
          <w:p>
            <w:pPr>
              <w:pStyle w:val="null3"/>
              <w:ind w:firstLine="560"/>
              <w:jc w:val="both"/>
            </w:pPr>
            <w:r>
              <w:rPr>
                <w:rFonts w:ascii="仿宋_GB2312" w:hAnsi="仿宋_GB2312" w:cs="仿宋_GB2312" w:eastAsia="仿宋_GB2312"/>
                <w:sz w:val="28"/>
              </w:rPr>
              <w:t>（二）工程地点：</w:t>
            </w:r>
            <w:r>
              <w:rPr>
                <w:rFonts w:ascii="仿宋_GB2312" w:hAnsi="仿宋_GB2312" w:cs="仿宋_GB2312" w:eastAsia="仿宋_GB2312"/>
                <w:sz w:val="28"/>
              </w:rPr>
              <w:t>采购人指定地点</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（三）计划工期：自进场之日起</w:t>
            </w:r>
            <w:r>
              <w:rPr>
                <w:rFonts w:ascii="仿宋_GB2312" w:hAnsi="仿宋_GB2312" w:cs="仿宋_GB2312" w:eastAsia="仿宋_GB2312"/>
                <w:sz w:val="28"/>
              </w:rPr>
              <w:t>45</w:t>
            </w:r>
            <w:r>
              <w:rPr>
                <w:rFonts w:ascii="仿宋_GB2312" w:hAnsi="仿宋_GB2312" w:cs="仿宋_GB2312" w:eastAsia="仿宋_GB2312"/>
                <w:sz w:val="28"/>
              </w:rPr>
              <w:t>个日历日内竣工。</w:t>
            </w:r>
          </w:p>
          <w:p>
            <w:pPr>
              <w:pStyle w:val="null3"/>
              <w:ind w:firstLine="560"/>
              <w:jc w:val="both"/>
            </w:pPr>
            <w:r>
              <w:rPr>
                <w:rFonts w:ascii="仿宋_GB2312" w:hAnsi="仿宋_GB2312" w:cs="仿宋_GB2312" w:eastAsia="仿宋_GB2312"/>
                <w:sz w:val="28"/>
              </w:rPr>
              <w:t>（四）缺陷责任期：</w:t>
            </w:r>
            <w:r>
              <w:rPr>
                <w:rFonts w:ascii="仿宋_GB2312" w:hAnsi="仿宋_GB2312" w:cs="仿宋_GB2312" w:eastAsia="仿宋_GB2312"/>
                <w:sz w:val="28"/>
              </w:rPr>
              <w:t>1年</w:t>
            </w:r>
          </w:p>
          <w:p>
            <w:pPr>
              <w:pStyle w:val="null3"/>
              <w:ind w:firstLine="560"/>
              <w:jc w:val="both"/>
            </w:pPr>
            <w:r>
              <w:rPr>
                <w:rFonts w:ascii="仿宋_GB2312" w:hAnsi="仿宋_GB2312" w:cs="仿宋_GB2312" w:eastAsia="仿宋_GB2312"/>
                <w:sz w:val="28"/>
              </w:rPr>
              <w:t>（五）质量保修期：</w:t>
            </w:r>
            <w:r>
              <w:rPr>
                <w:rFonts w:ascii="仿宋_GB2312" w:hAnsi="仿宋_GB2312" w:cs="仿宋_GB2312" w:eastAsia="仿宋_GB2312"/>
                <w:sz w:val="28"/>
              </w:rPr>
              <w:t>2年</w:t>
            </w:r>
            <w:r>
              <w:rPr>
                <w:rFonts w:ascii="仿宋_GB2312" w:hAnsi="仿宋_GB2312" w:cs="仿宋_GB2312" w:eastAsia="仿宋_GB2312"/>
                <w:sz w:val="28"/>
              </w:rPr>
              <w:t>。</w:t>
            </w:r>
          </w:p>
          <w:p>
            <w:pPr>
              <w:pStyle w:val="null3"/>
              <w:ind w:firstLine="280"/>
              <w:jc w:val="both"/>
            </w:pPr>
            <w:r>
              <w:rPr>
                <w:rFonts w:ascii="仿宋_GB2312" w:hAnsi="仿宋_GB2312" w:cs="仿宋_GB2312" w:eastAsia="仿宋_GB2312"/>
                <w:sz w:val="28"/>
              </w:rPr>
              <w:t>三、工程量清单和计价依据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一</w:t>
            </w:r>
            <w:r>
              <w:rPr>
                <w:rFonts w:ascii="仿宋_GB2312" w:hAnsi="仿宋_GB2312" w:cs="仿宋_GB2312" w:eastAsia="仿宋_GB2312"/>
                <w:sz w:val="28"/>
              </w:rPr>
              <w:t>）</w:t>
            </w:r>
            <w:r>
              <w:rPr>
                <w:rFonts w:ascii="仿宋_GB2312" w:hAnsi="仿宋_GB2312" w:cs="仿宋_GB2312" w:eastAsia="仿宋_GB2312"/>
                <w:sz w:val="28"/>
              </w:rPr>
              <w:t>设计依据</w:t>
            </w:r>
          </w:p>
          <w:p>
            <w:pPr>
              <w:pStyle w:val="null3"/>
              <w:ind w:firstLine="560"/>
              <w:jc w:val="both"/>
            </w:pPr>
            <w:r>
              <w:rPr>
                <w:rFonts w:ascii="仿宋_GB2312" w:hAnsi="仿宋_GB2312" w:cs="仿宋_GB2312" w:eastAsia="仿宋_GB2312"/>
                <w:sz w:val="28"/>
              </w:rPr>
              <w:t>1、《建设</w:t>
            </w:r>
            <w:r>
              <w:rPr>
                <w:rFonts w:ascii="仿宋_GB2312" w:hAnsi="仿宋_GB2312" w:cs="仿宋_GB2312" w:eastAsia="仿宋_GB2312"/>
                <w:sz w:val="28"/>
              </w:rPr>
              <w:t>工程工程量清单计价规范》（</w:t>
            </w:r>
            <w:r>
              <w:rPr>
                <w:rFonts w:ascii="仿宋_GB2312" w:hAnsi="仿宋_GB2312" w:cs="仿宋_GB2312" w:eastAsia="仿宋_GB2312"/>
                <w:sz w:val="28"/>
              </w:rPr>
              <w:t>GB50500-2008）、</w:t>
            </w:r>
            <w:r>
              <w:rPr>
                <w:rFonts w:ascii="仿宋_GB2312" w:hAnsi="仿宋_GB2312" w:cs="仿宋_GB2312" w:eastAsia="仿宋_GB2312"/>
                <w:sz w:val="28"/>
              </w:rPr>
              <w:t>《陕西省建设工程工程量清单计价规则》（</w:t>
            </w:r>
            <w:r>
              <w:rPr>
                <w:rFonts w:ascii="仿宋_GB2312" w:hAnsi="仿宋_GB2312" w:cs="仿宋_GB2312" w:eastAsia="仿宋_GB2312"/>
                <w:sz w:val="28"/>
              </w:rPr>
              <w:t>2009）、《陕西省建设工程工程量清单计价费率》（2009）及其他相关文件；</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增值税税率</w:t>
            </w:r>
            <w:r>
              <w:rPr>
                <w:rFonts w:ascii="仿宋_GB2312" w:hAnsi="仿宋_GB2312" w:cs="仿宋_GB2312" w:eastAsia="仿宋_GB2312"/>
                <w:sz w:val="28"/>
              </w:rPr>
              <w:t>执行陕建发〔</w:t>
            </w:r>
            <w:r>
              <w:rPr>
                <w:rFonts w:ascii="仿宋_GB2312" w:hAnsi="仿宋_GB2312" w:cs="仿宋_GB2312" w:eastAsia="仿宋_GB2312"/>
                <w:sz w:val="28"/>
              </w:rPr>
              <w:t>2019〕45号文《关于调整陕西省建设工程计价依据的通知》；</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扬尘治理专项措施费</w:t>
            </w:r>
            <w:r>
              <w:rPr>
                <w:rFonts w:ascii="仿宋_GB2312" w:hAnsi="仿宋_GB2312" w:cs="仿宋_GB2312" w:eastAsia="仿宋_GB2312"/>
                <w:sz w:val="28"/>
              </w:rPr>
              <w:t>执行陕建发〔</w:t>
            </w:r>
            <w:r>
              <w:rPr>
                <w:rFonts w:ascii="仿宋_GB2312" w:hAnsi="仿宋_GB2312" w:cs="仿宋_GB2312" w:eastAsia="仿宋_GB2312"/>
                <w:sz w:val="28"/>
              </w:rPr>
              <w:t>2017〕270号文《关于增加建设工程扬尘治理专项措施费及综合人工单价调整的通知》；</w:t>
            </w:r>
          </w:p>
          <w:p>
            <w:pPr>
              <w:pStyle w:val="null3"/>
              <w:ind w:firstLine="560"/>
              <w:jc w:val="both"/>
            </w:pPr>
            <w:r>
              <w:rPr>
                <w:rFonts w:ascii="仿宋_GB2312" w:hAnsi="仿宋_GB2312" w:cs="仿宋_GB2312" w:eastAsia="仿宋_GB2312"/>
                <w:sz w:val="28"/>
              </w:rPr>
              <w:t>4、建筑工人实名制管理专项措施费执行“陕建发〔2019〕1246号”《关于发布我省落实建筑工人实名制管理计价依据的通知》；</w:t>
            </w:r>
          </w:p>
          <w:p>
            <w:pPr>
              <w:pStyle w:val="null3"/>
              <w:ind w:firstLine="560"/>
              <w:jc w:val="both"/>
            </w:pPr>
            <w:r>
              <w:rPr>
                <w:rFonts w:ascii="仿宋_GB2312" w:hAnsi="仿宋_GB2312" w:cs="仿宋_GB2312" w:eastAsia="仿宋_GB2312"/>
                <w:sz w:val="28"/>
              </w:rPr>
              <w:t>5、建筑施工安全生产责任保险费用执行“陕建发〔2020〕1097号”《关于建筑施工安全生产责任保险费用计价的通知》；</w:t>
            </w:r>
          </w:p>
          <w:p>
            <w:pPr>
              <w:pStyle w:val="null3"/>
              <w:ind w:firstLine="560"/>
              <w:jc w:val="both"/>
            </w:pPr>
            <w:r>
              <w:rPr>
                <w:rFonts w:ascii="仿宋_GB2312" w:hAnsi="仿宋_GB2312" w:cs="仿宋_GB2312" w:eastAsia="仿宋_GB2312"/>
                <w:sz w:val="28"/>
              </w:rPr>
              <w:t>6、 养老保险执行“陕建发【2021】1021号”《关于全省统一停止收缴建筑业劳保费用的通知》</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、施工现场情况、工程特点及常规施工方案；现行国家和陕西省建筑施工规范；</w:t>
            </w:r>
          </w:p>
          <w:p>
            <w:pPr>
              <w:pStyle w:val="null3"/>
              <w:ind w:firstLine="560"/>
              <w:jc w:val="both"/>
            </w:pPr>
            <w:r>
              <w:rPr>
                <w:rFonts w:ascii="仿宋_GB2312" w:hAnsi="仿宋_GB2312" w:cs="仿宋_GB2312" w:eastAsia="仿宋_GB2312"/>
                <w:sz w:val="28"/>
              </w:rPr>
              <w:t>8、其他相关资料。</w:t>
            </w:r>
          </w:p>
          <w:p>
            <w:pPr>
              <w:pStyle w:val="null3"/>
              <w:jc w:val="both"/>
            </w:pPr>
            <w:r>
              <w:rPr>
                <w:rFonts w:ascii="仿宋_GB2312" w:hAnsi="仿宋_GB2312" w:cs="仿宋_GB2312" w:eastAsia="仿宋_GB2312"/>
                <w:sz w:val="28"/>
              </w:rPr>
              <w:t>（二）</w:t>
            </w:r>
            <w:r>
              <w:rPr>
                <w:rFonts w:ascii="仿宋_GB2312" w:hAnsi="仿宋_GB2312" w:cs="仿宋_GB2312" w:eastAsia="仿宋_GB2312"/>
                <w:sz w:val="28"/>
              </w:rPr>
              <w:t>工程量清单：</w:t>
            </w:r>
            <w:r>
              <w:rPr>
                <w:rFonts w:ascii="仿宋_GB2312" w:hAnsi="仿宋_GB2312" w:cs="仿宋_GB2312" w:eastAsia="仿宋_GB2312"/>
                <w:sz w:val="28"/>
              </w:rPr>
              <w:t>详见附件</w:t>
            </w:r>
          </w:p>
          <w:p>
            <w:pPr>
              <w:pStyle w:val="null3"/>
              <w:jc w:val="both"/>
            </w:pPr>
            <w:r>
              <w:rPr>
                <w:rFonts w:ascii="仿宋_GB2312" w:hAnsi="仿宋_GB2312" w:cs="仿宋_GB2312" w:eastAsia="仿宋_GB2312"/>
                <w:sz w:val="28"/>
              </w:rPr>
              <w:t>四、施工要求</w:t>
            </w:r>
          </w:p>
          <w:p>
            <w:pPr>
              <w:pStyle w:val="null3"/>
              <w:ind w:firstLine="560"/>
              <w:jc w:val="both"/>
            </w:pPr>
            <w:r>
              <w:rPr>
                <w:rFonts w:ascii="仿宋_GB2312" w:hAnsi="仿宋_GB2312" w:cs="仿宋_GB2312" w:eastAsia="仿宋_GB2312"/>
                <w:sz w:val="28"/>
              </w:rPr>
              <w:t>在施工期间，中标供应商必须注意院内人员安全，加强安全措施，并对施工人员进行安全教育。施工人员必须持证上岗。因采购人工作的特殊性，要求中标供应商在施工中做到封闭性施工。</w:t>
            </w:r>
          </w:p>
          <w:p>
            <w:pPr>
              <w:pStyle w:val="null3"/>
              <w:ind w:firstLine="560"/>
              <w:jc w:val="both"/>
            </w:pPr>
            <w:r>
              <w:rPr>
                <w:rFonts w:ascii="仿宋_GB2312" w:hAnsi="仿宋_GB2312" w:cs="仿宋_GB2312" w:eastAsia="仿宋_GB2312"/>
                <w:sz w:val="28"/>
              </w:rPr>
              <w:t>五、商务要求</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8"/>
              </w:rPr>
              <w:t>1、合同价款：固定总价</w:t>
            </w:r>
          </w:p>
          <w:p>
            <w:pPr>
              <w:pStyle w:val="null3"/>
              <w:ind w:firstLine="840"/>
              <w:jc w:val="both"/>
            </w:pPr>
            <w:r>
              <w:rPr>
                <w:rFonts w:ascii="仿宋_GB2312" w:hAnsi="仿宋_GB2312" w:cs="仿宋_GB2312" w:eastAsia="仿宋_GB2312"/>
                <w:sz w:val="28"/>
              </w:rPr>
              <w:t>2、结算方式：工程验收合格且出具正式项目竣工结算审计报告后，一次性支付审定造价的97%，剩余审定造价3%质保期满后无质量问题一次性无息退还。</w:t>
            </w:r>
          </w:p>
          <w:p>
            <w:pPr>
              <w:pStyle w:val="null3"/>
              <w:jc w:val="both"/>
            </w:pPr>
            <w:r>
              <w:rPr>
                <w:rFonts w:ascii="仿宋_GB2312" w:hAnsi="仿宋_GB2312" w:cs="仿宋_GB2312" w:eastAsia="仿宋_GB2312"/>
                <w:sz w:val="28"/>
              </w:rPr>
              <w:t>六</w:t>
            </w:r>
            <w:r>
              <w:rPr>
                <w:rFonts w:ascii="仿宋_GB2312" w:hAnsi="仿宋_GB2312" w:cs="仿宋_GB2312" w:eastAsia="仿宋_GB2312"/>
                <w:sz w:val="28"/>
              </w:rPr>
              <w:t>、与本工程相关的特别说明：</w:t>
            </w:r>
          </w:p>
          <w:p>
            <w:pPr>
              <w:pStyle w:val="null3"/>
              <w:ind w:firstLine="560"/>
              <w:jc w:val="both"/>
            </w:pPr>
            <w:r>
              <w:rPr>
                <w:rFonts w:ascii="仿宋_GB2312" w:hAnsi="仿宋_GB2312" w:cs="仿宋_GB2312" w:eastAsia="仿宋_GB2312"/>
                <w:sz w:val="28"/>
              </w:rPr>
              <w:t>本项目前期已完成设计，申请项目时向财政部门预算主管处室申请，将设计费从采购预算中剥离。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 xml:space="preserve">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依法缴纳税收和社会保障资金的良好记录</w:t>
            </w:r>
          </w:p>
        </w:tc>
        <w:tc>
          <w:tcPr>
            <w:tcW w:type="dxa" w:w="3322"/>
          </w:tcPr>
          <w:p>
            <w:pPr>
              <w:pStyle w:val="null3"/>
            </w:pPr>
            <w:r>
              <w:rPr>
                <w:rFonts w:ascii="仿宋_GB2312" w:hAnsi="仿宋_GB2312" w:cs="仿宋_GB2312" w:eastAsia="仿宋_GB2312"/>
              </w:rPr>
              <w:t>依法缴纳税收和社会保障资金的良好记录。依法缴纳税收的良好记录（提供截止至磋商时间前12个月内任一月份的缴费凭据,依法免税的单位应提供相关证明材料）；依法缴纳社会保障资金的良好记录（提供截止至磋商时间前12个月内任一月份的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须提供2024年度财务报告；或其基本开户银行出具的资信证明；或磋商担保函（以上三种形式的资料提供任何一种即可）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有效的资格主体证明</w:t>
            </w:r>
          </w:p>
        </w:tc>
        <w:tc>
          <w:tcPr>
            <w:tcW w:type="dxa" w:w="3322"/>
          </w:tcPr>
          <w:p>
            <w:pPr>
              <w:pStyle w:val="null3"/>
            </w:pPr>
            <w:r>
              <w:rPr>
                <w:rFonts w:ascii="仿宋_GB2312" w:hAnsi="仿宋_GB2312" w:cs="仿宋_GB2312" w:eastAsia="仿宋_GB2312"/>
              </w:rPr>
              <w:t>供应商须具备独立承担民事责任能力的法人、其他组织或自然人，提供营业执照/事业单位法人证书/非企业专业服务机构执业许可证/自然人身份证；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供应商须具备建筑装修装饰工程专业承包二级及以上资质，具有有效的安全生产许可证。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拟派项目负责人须提供在本单位注册的建筑工程专业贰级（含贰级）以上注册建造师证书及安全生产考核合格证（B证），且无在建项目；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信息查询</w:t>
            </w:r>
          </w:p>
        </w:tc>
        <w:tc>
          <w:tcPr>
            <w:tcW w:type="dxa" w:w="3322"/>
          </w:tcPr>
          <w:p>
            <w:pPr>
              <w:pStyle w:val="null3"/>
            </w:pPr>
            <w:r>
              <w:rPr>
                <w:rFonts w:ascii="仿宋_GB2312" w:hAnsi="仿宋_GB2312" w:cs="仿宋_GB2312" w:eastAsia="仿宋_GB2312"/>
              </w:rPr>
              <w:t>供应商基本信息及项目经理基本信息在”陕西省住房和城乡建设厅（http://js.shaanxi.gov.cn/）”可查询。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法定代表人授权书及被授权人身份证（法定代表人直接参加磋商的须提供其法定代表人身份证，被授权人参加磋商的须出具法定代表人授权书及本单位的社保缴纳证明）；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控股管理关系：单位负责人为同一人或者存在直接控股、管理关系的供应商，不得参加同一合同下的政府采购活动；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本项目为专门面向中小企业采购项目，供应商应为中型企业或小型企业，监狱企业或残疾人福利性单位。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报价一览表.docx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投标内容、响应文件的签署、盖章、投标报价、磋商有效期、工期、付款方式</w:t>
            </w:r>
          </w:p>
        </w:tc>
        <w:tc>
          <w:tcPr>
            <w:tcW w:type="dxa" w:w="3322"/>
          </w:tcPr>
          <w:p>
            <w:pPr>
              <w:pStyle w:val="null3"/>
            </w:pPr>
            <w:r>
              <w:rPr>
                <w:rFonts w:ascii="仿宋_GB2312" w:hAnsi="仿宋_GB2312" w:cs="仿宋_GB2312" w:eastAsia="仿宋_GB2312"/>
              </w:rPr>
              <w:t>1、投标内容是否完整； 2、响应文件的签署、盖章是否按要求签字、盖章； 3、投标报价是否唯一，且没有超过最高限价；4、磋商有效期是否满足要求；5、工期是否满足要求；6、付款方式是否完全响应。</w:t>
            </w:r>
          </w:p>
        </w:tc>
        <w:tc>
          <w:tcPr>
            <w:tcW w:type="dxa" w:w="1661"/>
          </w:tcPr>
          <w:p>
            <w:pPr>
              <w:pStyle w:val="null3"/>
            </w:pPr>
            <w:r>
              <w:rPr>
                <w:rFonts w:ascii="仿宋_GB2312" w:hAnsi="仿宋_GB2312" w:cs="仿宋_GB2312" w:eastAsia="仿宋_GB2312"/>
              </w:rPr>
              <w:t>业绩.docx 报价一览表.docx 已标价工程量清单 中小企业声明函 施工组织设计.docx 资格证明文件.docx 强制优先采购产品承诺函 响应文件封面 服务、技术及其他商务应答表.docx 项目管理机构组成表 残疾人福利性单位声明函 拒绝政府采购领域商业贿赂承诺书.docx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质量目标符合投标要求，并有详细可靠的质量保证管理制度及措施。内容完整、措施合理得3.5-5.0分， 内容基本完整、措施比较合理得2.0-3.5分， 内容不够完整、措施欠合理得1.0-2.0分。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有详细合理可行的安全施工管理制度及措施。 内容完整、措施合理得3.5-5.0分， 内容基本完整、措施比较合理得2.0-3.5分， 内容不够完整、措施欠合理得1.0-2.0分。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有详细合理可行的文明施工、降低环境污染的管理制度及措施。 内容完整、措施合理得3.5-5.0分， 内容基本完整、措施比较合理得2.0-3.5分， 内容不够完整、措施欠合理得1.0-2.0分；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确保工期的技术组织措施和进度计划</w:t>
            </w:r>
          </w:p>
        </w:tc>
        <w:tc>
          <w:tcPr>
            <w:tcW w:type="dxa" w:w="2492"/>
          </w:tcPr>
          <w:p>
            <w:pPr>
              <w:pStyle w:val="null3"/>
            </w:pPr>
            <w:r>
              <w:rPr>
                <w:rFonts w:ascii="仿宋_GB2312" w:hAnsi="仿宋_GB2312" w:cs="仿宋_GB2312" w:eastAsia="仿宋_GB2312"/>
              </w:rPr>
              <w:t>施工进度安排、主要材料的供应合理，确保按期完工。内容完整、措施合理得3.5-5.0分， 内容基本完整、措施比较合理得2.0-3.5分， 内容不够完整、措施欠合理得1.0-2.0分。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施工机械设施齐全，性能指标及材料投入能够满足项目要求。根据证明材料进行赋分。提供的证明材料齐全，满足项目要求度高， 计3.5-5分；提供的证明材料缺项，满足项目要求度一般，计2.0-3.5分。 提供的证明材料缺项严重，不满足项目要求，计1.0-2.0分。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人员安排计划科学合理、内容具体完整、针对性强计3.5-5.0分； 安排计划基本合理、具有一定针对性计2.0-3.5分；安排计划，内容不够全面，实施性不强计1.0-2.0分；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网络图或进度表内容详尽、安排合理且实施性强计3.5-5.0分； 提供网络图或进度表内容、安排基本合理实施性缺乏计2.0-3.5分； 提供网络图或进度表，内容不够全面，实施性不强计1.0-2.0分；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施工组织安排合理、施工部署全面有效、施工工艺先进。内容完整、方案科学、措施合理得3.5-5.0分； 内容较完整或方案较科学或措施较合理得2.0-3.5分； 内容不完整或方案不科学或措施不合理得1.0-2.0分；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人员配备合理、全面、有效。 项目管理机构配备人员完整、岗位合理、职能分工明确计3.5-5.0分； 项目管理机构配备人员较完整或岗位较合理或职能分工较明确计2.0-3.5分； 项目管理机构配备人员严重不完整或岗位不合理或职能分工不明确计1.0-2.0分；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施工现场扬尘预防措施</w:t>
            </w:r>
          </w:p>
        </w:tc>
        <w:tc>
          <w:tcPr>
            <w:tcW w:type="dxa" w:w="2492"/>
          </w:tcPr>
          <w:p>
            <w:pPr>
              <w:pStyle w:val="null3"/>
            </w:pPr>
            <w:r>
              <w:rPr>
                <w:rFonts w:ascii="仿宋_GB2312" w:hAnsi="仿宋_GB2312" w:cs="仿宋_GB2312" w:eastAsia="仿宋_GB2312"/>
              </w:rPr>
              <w:t>针对施工现场环境，提出的扬尘预防措施科学、合理、有效。内容完整、措施合理得3.5-5.0分， 内容基本完整、措施比较合理得2.0-3.5分， 内容不够完整、措施欠合理得1.0-2.0分。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半成品及成品保护措施</w:t>
            </w:r>
          </w:p>
        </w:tc>
        <w:tc>
          <w:tcPr>
            <w:tcW w:type="dxa" w:w="2492"/>
          </w:tcPr>
          <w:p>
            <w:pPr>
              <w:pStyle w:val="null3"/>
            </w:pPr>
            <w:r>
              <w:rPr>
                <w:rFonts w:ascii="仿宋_GB2312" w:hAnsi="仿宋_GB2312" w:cs="仿宋_GB2312" w:eastAsia="仿宋_GB2312"/>
              </w:rPr>
              <w:t>半成品及成品保护措施制度健全、措施完善得3.5-5.0分，基本健全得2.0-3.5分，不够完善得1.0-2.0分。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应急预案的承诺情况，以及合理化建议</w:t>
            </w:r>
          </w:p>
        </w:tc>
        <w:tc>
          <w:tcPr>
            <w:tcW w:type="dxa" w:w="2492"/>
          </w:tcPr>
          <w:p>
            <w:pPr>
              <w:pStyle w:val="null3"/>
            </w:pPr>
            <w:r>
              <w:rPr>
                <w:rFonts w:ascii="仿宋_GB2312" w:hAnsi="仿宋_GB2312" w:cs="仿宋_GB2312" w:eastAsia="仿宋_GB2312"/>
              </w:rPr>
              <w:t>应急方案内容完整、条例清晰，科学可行得3.5-5分；应急方案内容基本完整、条例比较清晰得2.0-3.5分； 方案内容简单 、条例不够清晰得1.0-2.0分。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承诺方案专门针对本项目编制，符合项目实际情况及实施要求，内容详尽且涵盖角度全面，合理性和可行性强，保障充分得3.5-5分; 承诺方案内容基本能够针对本项目编制，基本符合项目实际情况及实施要求，内容较详细，涵盖角度较全面，基本合理可行的，得2.0-3.5分; 具有承诺内容但内容未贴合本项目，承诺内容涵盖角度不全面且实施有难度的，得1.0-2.0分。 未提供承诺内容不得分。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工程业绩</w:t>
            </w:r>
          </w:p>
        </w:tc>
        <w:tc>
          <w:tcPr>
            <w:tcW w:type="dxa" w:w="2492"/>
          </w:tcPr>
          <w:p>
            <w:pPr>
              <w:pStyle w:val="null3"/>
            </w:pPr>
            <w:r>
              <w:rPr>
                <w:rFonts w:ascii="仿宋_GB2312" w:hAnsi="仿宋_GB2312" w:cs="仿宋_GB2312" w:eastAsia="仿宋_GB2312"/>
              </w:rPr>
              <w:t>供应商提供2022年1月至今类似项目业绩，须提供合同或中标（成交）通知书作为业绩证明，每提供一份业绩加1分，共5分。（以合同签订日期为准或以成交（中标）通知书发出时间为准） 注：在响应文件中须附合同或（成交）中标通知书的清晰复印件，弄虚作假者，取消其投标资格。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 磋商报价最低的磋商报价为评审基准价，其价格分为 满分。其他供应商的磋商报价统一按照下列公式计算： 磋商报价得分=（磋商基准价/最后磋商报价）×价格 权值×100 注：磋商小组三分之二以上成员认为某磋商报价有低 于成本价嫌疑的，涉嫌不正当竞争的，为无效报价。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详见附件：服务、技术及其他商务应答表.docx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详见附件：061Z-采购合同文本.docx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