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版本号：HXGJXM2025-ZC-CS106820250717001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2025年校舍维修改造项目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HXGJXM2025-ZC-CS1068</w:t>
      </w:r>
      <w:r>
        <w:br/>
      </w:r>
      <w:r>
        <w:br/>
      </w:r>
      <w:r>
        <w:br/>
      </w:r>
    </w:p>
    <w:p>
      <w:pPr>
        <w:pStyle w:val="null3"/>
        <w:jc w:val="center"/>
        <w:outlineLvl w:val="2"/>
      </w:pPr>
      <w:r>
        <w:rPr>
          <w:rFonts w:ascii="仿宋_GB2312" w:hAnsi="仿宋_GB2312" w:cs="仿宋_GB2312" w:eastAsia="仿宋_GB2312"/>
          <w:sz w:val="28"/>
          <w:b/>
        </w:rPr>
        <w:t>西安市雁塔区第六幼儿园</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西安市雁塔区第六幼儿园</w:t>
      </w:r>
      <w:r>
        <w:rPr>
          <w:rFonts w:ascii="仿宋_GB2312" w:hAnsi="仿宋_GB2312" w:cs="仿宋_GB2312" w:eastAsia="仿宋_GB2312"/>
        </w:rPr>
        <w:t>委托，拟对</w:t>
      </w:r>
      <w:r>
        <w:rPr>
          <w:rFonts w:ascii="仿宋_GB2312" w:hAnsi="仿宋_GB2312" w:cs="仿宋_GB2312" w:eastAsia="仿宋_GB2312"/>
        </w:rPr>
        <w:t>2025年校舍维修改造项目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HXGJXM2025-ZC-CS1068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2025年校舍维修改造项目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本工程位于陕西省西安市雁塔区第六幼儿园，施工项目内容包括，沙水池工程、西门及门房改造工程、二楼及三楼平台改造工程、其他工程，如园区廊架、悬浮地板及草坪施工等全部图纸内容。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采购包1（西安市雁塔区第六幼儿园2025年校舍维修改造项目）：属于专门面向中小企业采购。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被授权人提供投标截止日前一年内已缴存的至少一个月的社会保险参保缴费证明）（法定代表人直接参加磋商，须提供法定代表人身份证明）</w:t>
      </w:r>
    </w:p>
    <w:p>
      <w:pPr>
        <w:pStyle w:val="null3"/>
      </w:pPr>
      <w:r>
        <w:rPr>
          <w:rFonts w:ascii="仿宋_GB2312" w:hAnsi="仿宋_GB2312" w:cs="仿宋_GB2312" w:eastAsia="仿宋_GB2312"/>
        </w:rPr>
        <w:t>2、项目负责人：具备建筑工程专业二级及以上注册建造师执业资格和有效的安全生产考核证书（B证）在本单位注册，且无在建工程、无不良记录（提供无在建工程、无不良记录承诺书）；</w:t>
      </w:r>
    </w:p>
    <w:p>
      <w:pPr>
        <w:pStyle w:val="null3"/>
      </w:pPr>
      <w:r>
        <w:rPr>
          <w:rFonts w:ascii="仿宋_GB2312" w:hAnsi="仿宋_GB2312" w:cs="仿宋_GB2312" w:eastAsia="仿宋_GB2312"/>
        </w:rPr>
        <w:t>3、单位资质：供应商应具备建设行政主管部门核发的建筑装修装饰工程专业承包二级及以上资质，具有有效的安全生产许可证；</w:t>
      </w:r>
    </w:p>
    <w:p>
      <w:pPr>
        <w:pStyle w:val="null3"/>
      </w:pPr>
      <w:r>
        <w:rPr>
          <w:rFonts w:ascii="仿宋_GB2312" w:hAnsi="仿宋_GB2312" w:cs="仿宋_GB2312" w:eastAsia="仿宋_GB2312"/>
        </w:rPr>
        <w:t>4、信用信息：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西安市雁塔区第六幼儿园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西安市雁塔区公园南路369号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13389268591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魏依依、康敏茹、雷鸣、张艳萍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采购包1：474,947.62元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代理服务费收费标准：定额收取：6000元；户名：华夏国际项目管理（西安）有限公司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西安市雁塔区第六幼儿园</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西安市雁塔区第六幼儿园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西安市雁塔区第六幼儿园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《建设工程质量管理条例》合格标准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联系人：魏依依、康敏茹、雷鸣、张艳萍</w:t>
      </w:r>
    </w:p>
    <w:p>
      <w:pPr>
        <w:pStyle w:val="null3"/>
      </w:pPr>
      <w:r>
        <w:rPr>
          <w:rFonts w:ascii="仿宋_GB2312" w:hAnsi="仿宋_GB2312" w:cs="仿宋_GB2312" w:eastAsia="仿宋_GB2312"/>
        </w:rPr>
        <w:t>联系电话：029-88899970/72/73/75-805</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474,947.62</w:t>
      </w:r>
    </w:p>
    <w:p>
      <w:pPr>
        <w:pStyle w:val="null3"/>
      </w:pPr>
      <w:r>
        <w:rPr>
          <w:rFonts w:ascii="仿宋_GB2312" w:hAnsi="仿宋_GB2312" w:cs="仿宋_GB2312" w:eastAsia="仿宋_GB2312"/>
        </w:rPr>
        <w:t>采购包最高限价（元）: 474,947.62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西安市雁塔区第六幼儿园2025年校舍维修改造项目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474,947.62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标的名称：西安市雁塔区第六幼儿园2025年校舍维修改造项目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一、工程概况：</w:t>
            </w:r>
          </w:p>
          <w:p>
            <w:pPr>
              <w:pStyle w:val="null3"/>
              <w:jc w:val="both"/>
            </w:pPr>
            <w:r>
              <w:rPr>
                <w:rFonts w:ascii="仿宋_GB2312" w:hAnsi="仿宋_GB2312" w:cs="仿宋_GB2312" w:eastAsia="仿宋_GB2312"/>
              </w:rPr>
              <w:t>本工程位于陕西省西安市雁塔区第六幼儿园，施工项目内容包括，沙水池工程、西门及门房改造工程、二楼及三楼平台改造工程、其他工程，如园区廊架、悬浮地板及草坪施工等全部图纸内容。</w:t>
            </w:r>
          </w:p>
          <w:p>
            <w:pPr>
              <w:pStyle w:val="null3"/>
              <w:jc w:val="both"/>
            </w:pPr>
            <w:r>
              <w:rPr>
                <w:rFonts w:ascii="仿宋_GB2312" w:hAnsi="仿宋_GB2312" w:cs="仿宋_GB2312" w:eastAsia="仿宋_GB2312"/>
              </w:rPr>
              <w:t>二、编制依据：</w:t>
            </w:r>
          </w:p>
          <w:p>
            <w:pPr>
              <w:pStyle w:val="null3"/>
              <w:jc w:val="both"/>
            </w:pPr>
            <w:r>
              <w:rPr>
                <w:rFonts w:ascii="仿宋_GB2312" w:hAnsi="仿宋_GB2312" w:cs="仿宋_GB2312" w:eastAsia="仿宋_GB2312"/>
              </w:rPr>
              <w:t>1、《建设工程工程量清单计价规范》（GB50500-2008）、《陕西省建设工程工程量清单计价规则》（2009）、《陕西省建设工程工程量清单计价费率》（2009）及其他相关文件；</w:t>
            </w:r>
          </w:p>
          <w:p>
            <w:pPr>
              <w:pStyle w:val="null3"/>
              <w:jc w:val="both"/>
            </w:pPr>
            <w:r>
              <w:rPr>
                <w:rFonts w:ascii="仿宋_GB2312" w:hAnsi="仿宋_GB2312" w:cs="仿宋_GB2312" w:eastAsia="仿宋_GB2312"/>
              </w:rPr>
              <w:t>2、增值税税率执行陕建发〔2019〕45号文《关于调整陕西省建设工程计价依据的通知》；</w:t>
            </w:r>
          </w:p>
          <w:p>
            <w:pPr>
              <w:pStyle w:val="null3"/>
              <w:jc w:val="both"/>
            </w:pPr>
            <w:r>
              <w:rPr>
                <w:rFonts w:ascii="仿宋_GB2312" w:hAnsi="仿宋_GB2312" w:cs="仿宋_GB2312" w:eastAsia="仿宋_GB2312"/>
              </w:rPr>
              <w:t>3、扬尘治理专项措施费执行陕建发〔2017〕270号文《关于增加建设工程扬尘治理专项措施费及综合人工单价调整的通知》；</w:t>
            </w:r>
          </w:p>
          <w:p>
            <w:pPr>
              <w:pStyle w:val="null3"/>
              <w:jc w:val="both"/>
            </w:pPr>
            <w:r>
              <w:rPr>
                <w:rFonts w:ascii="仿宋_GB2312" w:hAnsi="仿宋_GB2312" w:cs="仿宋_GB2312" w:eastAsia="仿宋_GB2312"/>
              </w:rPr>
              <w:t>4、建筑工人实名制管理专项措施费执行“陕建发〔2019〕1246号”《关于发布我省落实建筑工人实名制管理计价依据的通知》；</w:t>
            </w:r>
          </w:p>
          <w:p>
            <w:pPr>
              <w:pStyle w:val="null3"/>
              <w:jc w:val="both"/>
            </w:pPr>
            <w:r>
              <w:rPr>
                <w:rFonts w:ascii="仿宋_GB2312" w:hAnsi="仿宋_GB2312" w:cs="仿宋_GB2312" w:eastAsia="仿宋_GB2312"/>
              </w:rPr>
              <w:t>5、建筑施工安全生产责任保险费用执行“陕建发〔2020〕1097号”《关于建筑施工安全生产责任保险费用计价的通知》；</w:t>
            </w:r>
          </w:p>
          <w:p>
            <w:pPr>
              <w:pStyle w:val="null3"/>
              <w:jc w:val="both"/>
            </w:pPr>
            <w:r>
              <w:rPr>
                <w:rFonts w:ascii="仿宋_GB2312" w:hAnsi="仿宋_GB2312" w:cs="仿宋_GB2312" w:eastAsia="仿宋_GB2312"/>
              </w:rPr>
              <w:t>6、养老保险执行“陕建发【2021】1021号”《关于全省统一停止收缴建筑业劳保费用的通知》；</w:t>
            </w:r>
          </w:p>
          <w:p>
            <w:pPr>
              <w:pStyle w:val="null3"/>
              <w:jc w:val="both"/>
            </w:pPr>
            <w:r>
              <w:rPr>
                <w:rFonts w:ascii="仿宋_GB2312" w:hAnsi="仿宋_GB2312" w:cs="仿宋_GB2312" w:eastAsia="仿宋_GB2312"/>
              </w:rPr>
              <w:t>7、施工现场情况、工程特点及常规施工方案；现行国家和陕西省建筑施工规范；</w:t>
            </w:r>
          </w:p>
          <w:p>
            <w:pPr>
              <w:pStyle w:val="null3"/>
              <w:jc w:val="both"/>
            </w:pPr>
            <w:r>
              <w:rPr>
                <w:rFonts w:ascii="仿宋_GB2312" w:hAnsi="仿宋_GB2312" w:cs="仿宋_GB2312" w:eastAsia="仿宋_GB2312"/>
              </w:rPr>
              <w:t>8、图纸答疑回复；</w:t>
            </w:r>
          </w:p>
          <w:p>
            <w:pPr>
              <w:pStyle w:val="null3"/>
              <w:jc w:val="both"/>
            </w:pPr>
            <w:r>
              <w:rPr>
                <w:rFonts w:ascii="仿宋_GB2312" w:hAnsi="仿宋_GB2312" w:cs="仿宋_GB2312" w:eastAsia="仿宋_GB2312"/>
              </w:rPr>
              <w:t>9、其他相关资料。</w:t>
            </w:r>
          </w:p>
          <w:p>
            <w:pPr>
              <w:pStyle w:val="null3"/>
              <w:jc w:val="both"/>
            </w:pPr>
            <w:r>
              <w:rPr>
                <w:rFonts w:ascii="仿宋_GB2312" w:hAnsi="仿宋_GB2312" w:cs="仿宋_GB2312" w:eastAsia="仿宋_GB2312"/>
              </w:rPr>
              <w:t>三、其他说明</w:t>
            </w:r>
          </w:p>
          <w:p>
            <w:pPr>
              <w:pStyle w:val="null3"/>
              <w:jc w:val="both"/>
            </w:pPr>
            <w:r>
              <w:rPr>
                <w:rFonts w:ascii="仿宋_GB2312" w:hAnsi="仿宋_GB2312" w:cs="仿宋_GB2312" w:eastAsia="仿宋_GB2312"/>
              </w:rPr>
              <w:t>1、编制软件采用广联达计价GBQ6.0，版本号：6.4100.23.122版本。</w:t>
            </w:r>
          </w:p>
          <w:p>
            <w:pPr>
              <w:pStyle w:val="null3"/>
              <w:jc w:val="both"/>
            </w:pPr>
            <w:r>
              <w:rPr>
                <w:rFonts w:ascii="仿宋_GB2312" w:hAnsi="仿宋_GB2312" w:cs="仿宋_GB2312" w:eastAsia="仿宋_GB2312"/>
              </w:rPr>
              <w:t>2、具体内容详见电子招标书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《建设工程质量管理条例》</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3.1施工工期 ：自合同签订之日起25日历日。 3.2建设地点 采购包1：西安市雁塔区第六幼儿园 3.3支付方式 分期付款 3.4支付约定 （1）合同签订后15日内支付合同总价款40%作为预付款；（2）当承包人完成全部合同工程量、工程竣工，经发包人验收合格，承包人将竣工资料及相关质量证明文件交付发包人并完成工程审计后 ，达到付款条件起20日内，支付至最终审定决算价款。（3）付款前供应商需提前向甲方提供足额发票。 3.5验收标准和方法 ：达到工程质量验收合格标准。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在施工期间，中标供应商必须注意院内人员安全，加强安全措施，并对施工人员进行安全教育。施工人员必须持证上岗。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供应商需在项目电子化交易系统中按要求填写《响应函》完成承诺并提供以下资料：1.提供合格有效的法人或者其他组织的营业执照等证明文件，自然人的身份证明；供应商是法人或其他组织的应提供营业 执照等证明文件，供应商是自然人的应提供有效的自然人身份证明；2.财务状况证明：提供2023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 3.提供具有履行合同所必需的设备和专业技术能力的承诺；4.税收缴纳证明：提供递交响应文件截止之日前一年内任意一个月的依法缴纳税收的完税证明，完税证明应有税务机关或代收机关的公章或业务专用章。依法免税或无须缴纳税收的供应商，应提供相应证明文件。5.社会保障资金缴纳证明：提供投标截止日前一年内已缴存的至少一个月的社会保障资金缴存单据或社保机构开具的社会保险参保缴费情况证明，依法不需要缴纳社会保障资金的单位应提供相关证明材料；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法定代表人授权书（附法定代表人、被授权人身份证复印件，被授权人提供投标截止日前一年内已缴存的至少一个月的社会保险参保缴费证明）（法定代表人直接参加磋商，须提供法定代表人身份证明）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具备建筑工程专业二级及以上注册建造师执业资格和有效的安全生产考核证书（B证）在本单位注册，且无在建工程、无不良记录（提供无在建工程、无不良记录承诺书）；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单位资质</w:t>
            </w:r>
          </w:p>
        </w:tc>
        <w:tc>
          <w:tcPr>
            <w:tcW w:type="dxa" w:w="3322"/>
          </w:tcPr>
          <w:p>
            <w:pPr>
              <w:pStyle w:val="null3"/>
            </w:pPr>
            <w:r>
              <w:rPr>
                <w:rFonts w:ascii="仿宋_GB2312" w:hAnsi="仿宋_GB2312" w:cs="仿宋_GB2312" w:eastAsia="仿宋_GB2312"/>
              </w:rPr>
              <w:t>供应商应具备建设行政主管部门核发的建筑装修装饰工程专业承包二级及以上资质，具有有效的安全生产许可证；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法定代表人或其授权代表人的签字齐全并加盖公章。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1、实施方案非常详细并且完整可行、有针对性，完全满足项目实施的得10分； 2、实施方案详细、完整，可行、有针对性，满足项目实施的得8分； 3、实施方案比较详细完整、可行，较利于项目实施的得5分； 4、实施方案基本可行，基本满足项目实施需要的得2分;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针对本项目提供的安全作业方案及安全配套措施进行综合评审。 1、提供的安全作业方案及安全配套措施具体、详细，完全符合并优于采购人安全作业的要求，得5分； 2、提供安全作业方案及安全配套措施较详细、较完整，符合采购人安全作业的要求，得3分； 3、提供安全作业方案及安全配套措施基本合理可行，符合采购人安全作业的要求，得2分； 4、提供的安全作业方案及安全配套措施简单，基本符合采购人安全作业的要求，得1分。 5、未提供得0分。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 1、措施计划齐全、合理且切实可行，完全满足采购人需求得5分； 2、措施计划较齐全、合理、切实可行，满足采购人需求得3分； 3、措施计划较齐全、合理、基本可行，基本满足采购人需求得2分； 4、措施计划基本完备齐全、合理性、可行性较差，得1分； 5、未提供得0分。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以上内容专门针对本项目且符合本项目实际需求的得 10 分，每缺一项内容扣 2 分，若上述内容存在瑕疵，每存在 1 处瑕疵扣0-1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配备分工及配合协调措施</w:t>
            </w:r>
          </w:p>
        </w:tc>
        <w:tc>
          <w:tcPr>
            <w:tcW w:type="dxa" w:w="2492"/>
          </w:tcPr>
          <w:p>
            <w:pPr>
              <w:pStyle w:val="null3"/>
            </w:pPr>
            <w:r>
              <w:rPr>
                <w:rFonts w:ascii="仿宋_GB2312" w:hAnsi="仿宋_GB2312" w:cs="仿宋_GB2312" w:eastAsia="仿宋_GB2312"/>
              </w:rPr>
              <w:t>1、配备分工合理，岗位间配合协调措施完善，得5分； 2、配备分工有一定合理性，岗位间配合协调措施较完善，得3分； 3、配备分工无针对性，岗位间协调配合措施简单笼统，得1分。未提供不得分。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专业技术能力及岗位职责</w:t>
            </w:r>
          </w:p>
        </w:tc>
        <w:tc>
          <w:tcPr>
            <w:tcW w:type="dxa" w:w="2492"/>
          </w:tcPr>
          <w:p>
            <w:pPr>
              <w:pStyle w:val="null3"/>
            </w:pPr>
            <w:r>
              <w:rPr>
                <w:rFonts w:ascii="仿宋_GB2312" w:hAnsi="仿宋_GB2312" w:cs="仿宋_GB2312" w:eastAsia="仿宋_GB2312"/>
              </w:rPr>
              <w:t>1、人员专业技术能力强，岗位职责清晰，得5分； 2、人员有一定的专业技术能力，岗位职责较清晰，得3分； 3、人员专业技术能力欠缺，得1分。未提供不得分。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机械设备和劳动力配置情况</w:t>
            </w:r>
          </w:p>
        </w:tc>
        <w:tc>
          <w:tcPr>
            <w:tcW w:type="dxa" w:w="2492"/>
          </w:tcPr>
          <w:p>
            <w:pPr>
              <w:pStyle w:val="null3"/>
            </w:pPr>
            <w:r>
              <w:rPr>
                <w:rFonts w:ascii="仿宋_GB2312" w:hAnsi="仿宋_GB2312" w:cs="仿宋_GB2312" w:eastAsia="仿宋_GB2312"/>
              </w:rPr>
              <w:t>针对本项目提供拟投入本项目主要机械、设备和劳动力配置情况。 1、拟投入的机械设备数量充足，与项目匹配度高，劳动力配置合理，完全满足项目需要，得5分； 2、拟投入的机械设备数量、与项目基本匹配，劳动力配置较合理，基本满足项目需要，得3分； 3、拟投入的机械设备和劳动力配置简单，无针对性，得1分。未提供不得分。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风险预防及应急预案</w:t>
            </w:r>
          </w:p>
        </w:tc>
        <w:tc>
          <w:tcPr>
            <w:tcW w:type="dxa" w:w="2492"/>
          </w:tcPr>
          <w:p>
            <w:pPr>
              <w:pStyle w:val="null3"/>
            </w:pPr>
            <w:r>
              <w:rPr>
                <w:rFonts w:ascii="仿宋_GB2312" w:hAnsi="仿宋_GB2312" w:cs="仿宋_GB2312" w:eastAsia="仿宋_GB2312"/>
              </w:rPr>
              <w:t>针对本项目提供项目风险预测与防范，事故应急预案。 1、风险预测与防范内容完善，针对性强，预案及措施科学合理可行性强，得5分； 2、风险预测与防范内容较完善，预案及措施有一定针对性和可行性强，得3分； 3、风险预测与防范内容、预案及措施内容简单笼统，无针对性，得1分。未提供不得分。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 1、进度计划安排合理、措施有效，工期目标明确，满足采购人要求，得5分；2、进度计划安排较合理、措施较有效，工期目标基本清晰，基本满足采购人要求，得3分； 3、进度计划和工期目标内容简单笼统，无针对性，得1分。未提供不得分。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提供供应商2022年7月1日至今（以合同的签订日期为准）承接过类似项目的合同证明（每提供一个得3分，满分15分）（合同内容须清晰可辨认，无涂改，否则视为无效合同）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2、有效最低报价为磋商基准价。3、磋商报价按（磋商基准价/有效磋商报价）×30的公式计算其得分。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