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版本号：GXZB2025-059Z20250807002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2025年支持学前教育发展资金(公办幼儿园建设)设备采购项目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GXZB2025-059Z</w:t>
      </w:r>
      <w:r>
        <w:br/>
      </w:r>
      <w:r>
        <w:br/>
      </w:r>
      <w:r>
        <w:br/>
      </w:r>
    </w:p>
    <w:p>
      <w:pPr>
        <w:pStyle w:val="null3"/>
        <w:jc w:val="center"/>
        <w:outlineLvl w:val="2"/>
      </w:pPr>
      <w:r>
        <w:rPr>
          <w:rFonts w:ascii="仿宋_GB2312" w:hAnsi="仿宋_GB2312" w:cs="仿宋_GB2312" w:eastAsia="仿宋_GB2312"/>
          <w:sz w:val="28"/>
          <w:b/>
        </w:rPr>
        <w:t>西安市雁塔区第二十四幼儿园</w:t>
      </w:r>
    </w:p>
    <w:p>
      <w:pPr>
        <w:pStyle w:val="null3"/>
        <w:jc w:val="center"/>
        <w:outlineLvl w:val="2"/>
      </w:pPr>
      <w:r>
        <w:rPr>
          <w:rFonts w:ascii="仿宋_GB2312" w:hAnsi="仿宋_GB2312" w:cs="仿宋_GB2312" w:eastAsia="仿宋_GB2312"/>
          <w:sz w:val="28"/>
          <w:b/>
        </w:rPr>
        <w:t>陕西国信招标有限公司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陕西国信招标有限公司</w:t>
      </w:r>
      <w:r>
        <w:rPr>
          <w:rFonts w:ascii="仿宋_GB2312" w:hAnsi="仿宋_GB2312" w:cs="仿宋_GB2312" w:eastAsia="仿宋_GB2312"/>
        </w:rPr>
        <w:t>（以下简称“代理机构”）受</w:t>
      </w:r>
      <w:r>
        <w:rPr>
          <w:rFonts w:ascii="仿宋_GB2312" w:hAnsi="仿宋_GB2312" w:cs="仿宋_GB2312" w:eastAsia="仿宋_GB2312"/>
        </w:rPr>
        <w:t>西安市雁塔区第二十四幼儿园</w:t>
      </w:r>
      <w:r>
        <w:rPr>
          <w:rFonts w:ascii="仿宋_GB2312" w:hAnsi="仿宋_GB2312" w:cs="仿宋_GB2312" w:eastAsia="仿宋_GB2312"/>
        </w:rPr>
        <w:t>委托，拟对</w:t>
      </w:r>
      <w:r>
        <w:rPr>
          <w:rFonts w:ascii="仿宋_GB2312" w:hAnsi="仿宋_GB2312" w:cs="仿宋_GB2312" w:eastAsia="仿宋_GB2312"/>
        </w:rPr>
        <w:t>2025年支持学前教育发展资金(公办幼儿园建设)设备采购项目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GXZB2025-059Z</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2025年支持学前教育发展资金(公办幼儿园建设)设备采购项目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本项目拟对西安市雁塔区第二十四幼儿园2025年支持学前教育发展资金(公办幼儿园建设)设备采购项目进行采购， 具体详见招标文件。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采购包1（2025年支持学前教育 发展资金(公办幼儿园建设)设备采购项目包1）：属于专门面向中小企业采购。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1、有效的资格主体证明：供应商须具备独立承担民事责任能力的法人、其他组织或自然人，提供营业执照或事业单位法人证书；自然人参与的提供其身份证明；</w:t>
      </w:r>
    </w:p>
    <w:p>
      <w:pPr>
        <w:pStyle w:val="null3"/>
      </w:pPr>
      <w:r>
        <w:rPr>
          <w:rFonts w:ascii="仿宋_GB2312" w:hAnsi="仿宋_GB2312" w:cs="仿宋_GB2312" w:eastAsia="仿宋_GB2312"/>
        </w:rPr>
        <w:t>2、依法缴纳税收和社会保障资金的良好记录：依法缴纳税收的良好记录（提供截止至开标时间前12个月内任一月份的缴费凭据,依法免税的单位应提供相关证明材料）；依法缴纳社会保障资金的良好记录（提供截止至开标时间前12个月内任一月份的缴费凭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3、财务状况报告：须提供2024年度的财务报告；或其基本开户银行出具的资信证明；或投标担保函（以上三种形式的资料提供任何一种即可）；</w:t>
      </w:r>
    </w:p>
    <w:p>
      <w:pPr>
        <w:pStyle w:val="null3"/>
      </w:pPr>
      <w:r>
        <w:rPr>
          <w:rFonts w:ascii="仿宋_GB2312" w:hAnsi="仿宋_GB2312" w:cs="仿宋_GB2312" w:eastAsia="仿宋_GB2312"/>
        </w:rPr>
        <w:t>4、书面声明：供应商参加政府采购活动前3年内在经营活动中没有重大违法记录的书面声明；</w:t>
      </w:r>
    </w:p>
    <w:p>
      <w:pPr>
        <w:pStyle w:val="null3"/>
      </w:pPr>
      <w:r>
        <w:rPr>
          <w:rFonts w:ascii="仿宋_GB2312" w:hAnsi="仿宋_GB2312" w:cs="仿宋_GB2312" w:eastAsia="仿宋_GB2312"/>
        </w:rPr>
        <w:t>5、承诺书：履行合同所必需的设备和专业技术能力的承诺；</w:t>
      </w:r>
    </w:p>
    <w:p>
      <w:pPr>
        <w:pStyle w:val="null3"/>
      </w:pPr>
      <w:r>
        <w:rPr>
          <w:rFonts w:ascii="仿宋_GB2312" w:hAnsi="仿宋_GB2312" w:cs="仿宋_GB2312" w:eastAsia="仿宋_GB2312"/>
        </w:rPr>
        <w:t>6、法定代表人授权书及被授权人身份证明：供应商应授权合法的人员参加投标全过程，其中法定代表人直接参加投标的，须出具法人身份证明。法定代表人授权代表参加投标的，须出具法定代表人授权书及及授权代表在本单位的社保缴纳证明；</w:t>
      </w:r>
    </w:p>
    <w:p>
      <w:pPr>
        <w:pStyle w:val="null3"/>
      </w:pPr>
      <w:r>
        <w:rPr>
          <w:rFonts w:ascii="仿宋_GB2312" w:hAnsi="仿宋_GB2312" w:cs="仿宋_GB2312" w:eastAsia="仿宋_GB2312"/>
        </w:rPr>
        <w:t>7、控股管理关系：单位负责人为同一人或者存在直接控股、管理关系的供应商，不得参加同一合同下的政府采购活动；</w:t>
      </w:r>
    </w:p>
    <w:p>
      <w:pPr>
        <w:pStyle w:val="null3"/>
      </w:pPr>
      <w:r>
        <w:rPr>
          <w:rFonts w:ascii="仿宋_GB2312" w:hAnsi="仿宋_GB2312" w:cs="仿宋_GB2312" w:eastAsia="仿宋_GB2312"/>
        </w:rPr>
        <w:t>8、中小企业声明函：本采购包为专门面向中小企业采购项目，供应商应为中型企业或小型、监狱企业或残疾人福利性单位；</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1、有效的资格主体证明：供应商须具备独立承担民事责任能力的法人、其他组织或自然人，提供营业执照或事业单位法人证书；自然人参与的提供其身份证明；</w:t>
      </w:r>
    </w:p>
    <w:p>
      <w:pPr>
        <w:pStyle w:val="null3"/>
      </w:pPr>
      <w:r>
        <w:rPr>
          <w:rFonts w:ascii="仿宋_GB2312" w:hAnsi="仿宋_GB2312" w:cs="仿宋_GB2312" w:eastAsia="仿宋_GB2312"/>
        </w:rPr>
        <w:t>2、依法缴纳税收和社会保障资金的良好记录：依法缴纳税收的良好记录（提供截止至开标时间前12个月内任一月份的缴费凭据,依法免税的单位应提供相关证明材料）；依法缴纳社会保障资金的良好记录（提供截止至开标时间前12个月内任一月份的缴费凭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3、财务状况报告：须提供2024年度的财务报告；或其基本开户银行出具的资信证明；或投标担保函（以上三种形式的资料提供任何一种即可）；</w:t>
      </w:r>
    </w:p>
    <w:p>
      <w:pPr>
        <w:pStyle w:val="null3"/>
      </w:pPr>
      <w:r>
        <w:rPr>
          <w:rFonts w:ascii="仿宋_GB2312" w:hAnsi="仿宋_GB2312" w:cs="仿宋_GB2312" w:eastAsia="仿宋_GB2312"/>
        </w:rPr>
        <w:t>4、书面声明：供应商参加政府采购活动前3年内在经营活动中没有重大违法记录的书面声明；</w:t>
      </w:r>
    </w:p>
    <w:p>
      <w:pPr>
        <w:pStyle w:val="null3"/>
      </w:pPr>
      <w:r>
        <w:rPr>
          <w:rFonts w:ascii="仿宋_GB2312" w:hAnsi="仿宋_GB2312" w:cs="仿宋_GB2312" w:eastAsia="仿宋_GB2312"/>
        </w:rPr>
        <w:t>5、承诺书：履行合同所必需的设备和专业技术能力的承诺；</w:t>
      </w:r>
    </w:p>
    <w:p>
      <w:pPr>
        <w:pStyle w:val="null3"/>
      </w:pPr>
      <w:r>
        <w:rPr>
          <w:rFonts w:ascii="仿宋_GB2312" w:hAnsi="仿宋_GB2312" w:cs="仿宋_GB2312" w:eastAsia="仿宋_GB2312"/>
        </w:rPr>
        <w:t>6、法定代表人授权书及被授权人身份证明：供应商应授权合法的人员参加投标全过程，其中法定代表人直接参加投标的，须出具法人身份证明。法定代表人授权代表参加投标的，须出具法定代表人授权书及及授权代表在本单位的社保缴纳证明；</w:t>
      </w:r>
    </w:p>
    <w:p>
      <w:pPr>
        <w:pStyle w:val="null3"/>
      </w:pPr>
      <w:r>
        <w:rPr>
          <w:rFonts w:ascii="仿宋_GB2312" w:hAnsi="仿宋_GB2312" w:cs="仿宋_GB2312" w:eastAsia="仿宋_GB2312"/>
        </w:rPr>
        <w:t>7、控股管理关系：单位负责人为同一人或者存在直接控股、管理关系的供应商，不得参加同一合同下的政府采购活动；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1、有效的资格主体证明：供应商须具备独立承担民事责任能力的法人、其他组织或自然人，提供营业执照或事业单位法人证书；自然人参与的提供其身份证明；</w:t>
      </w:r>
    </w:p>
    <w:p>
      <w:pPr>
        <w:pStyle w:val="null3"/>
      </w:pPr>
      <w:r>
        <w:rPr>
          <w:rFonts w:ascii="仿宋_GB2312" w:hAnsi="仿宋_GB2312" w:cs="仿宋_GB2312" w:eastAsia="仿宋_GB2312"/>
        </w:rPr>
        <w:t>2、依法缴纳税收和社会保障资金的良好记录：依法缴纳税收的良好记录（提供截止至开标时间前12个月内任一月份的缴费凭据,依法免税的单位应提供相关证明材料）；依法缴纳社会保障资金的良好记录（提供截止至开标时间前12个月内任一月份的缴费凭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3、财务状况报告：须提供2024年度的财务报告；或其基本开户银行出具的资信证明；或投标担保函（以上三种形式的资料提供任何一种即可）；</w:t>
      </w:r>
    </w:p>
    <w:p>
      <w:pPr>
        <w:pStyle w:val="null3"/>
      </w:pPr>
      <w:r>
        <w:rPr>
          <w:rFonts w:ascii="仿宋_GB2312" w:hAnsi="仿宋_GB2312" w:cs="仿宋_GB2312" w:eastAsia="仿宋_GB2312"/>
        </w:rPr>
        <w:t>4、特定资质：供应商须具有出版物经营许可证；</w:t>
      </w:r>
    </w:p>
    <w:p>
      <w:pPr>
        <w:pStyle w:val="null3"/>
      </w:pPr>
      <w:r>
        <w:rPr>
          <w:rFonts w:ascii="仿宋_GB2312" w:hAnsi="仿宋_GB2312" w:cs="仿宋_GB2312" w:eastAsia="仿宋_GB2312"/>
        </w:rPr>
        <w:t>5、书面声明：供应商参加政府采购活动前3年内在经营活动中没有重大违法记录的书面声明；</w:t>
      </w:r>
    </w:p>
    <w:p>
      <w:pPr>
        <w:pStyle w:val="null3"/>
      </w:pPr>
      <w:r>
        <w:rPr>
          <w:rFonts w:ascii="仿宋_GB2312" w:hAnsi="仿宋_GB2312" w:cs="仿宋_GB2312" w:eastAsia="仿宋_GB2312"/>
        </w:rPr>
        <w:t>6、承诺书：履行合同所必需的设备和专业技术能力的承诺；</w:t>
      </w:r>
    </w:p>
    <w:p>
      <w:pPr>
        <w:pStyle w:val="null3"/>
      </w:pPr>
      <w:r>
        <w:rPr>
          <w:rFonts w:ascii="仿宋_GB2312" w:hAnsi="仿宋_GB2312" w:cs="仿宋_GB2312" w:eastAsia="仿宋_GB2312"/>
        </w:rPr>
        <w:t>7、法定代表人授权书及被授权人身份证明：供应商应授权合法的人员参加投标全过程，其中法定代表人直接参加投标的，须出具法人身份证明。法定代表人授权代表参加投标的，须出具法定代表人授权书及及授权代表在本单位的社保缴纳证明；</w:t>
      </w:r>
    </w:p>
    <w:p>
      <w:pPr>
        <w:pStyle w:val="null3"/>
      </w:pPr>
      <w:r>
        <w:rPr>
          <w:rFonts w:ascii="仿宋_GB2312" w:hAnsi="仿宋_GB2312" w:cs="仿宋_GB2312" w:eastAsia="仿宋_GB2312"/>
        </w:rPr>
        <w:t>8、控股管理关系：单位负责人为同一人或者存在直接控股、管理关系的供应商，不得参加同一合同下的政府采购活动；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西安市雁塔区第二十四幼儿园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西安市雁塔区书香路书香林苑小区内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西安市雁塔区第二十四幼儿园经办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18991162498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陕西省西安市曲江新区旺座曲江B座3105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高丹、孙翠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029-82680887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采购包1：1,636,668.00元</w:t>
            </w:r>
          </w:p>
          <w:p>
            <w:pPr>
              <w:pStyle w:val="null3"/>
            </w:pPr>
            <w:r>
              <w:rPr>
                <w:rFonts w:ascii="仿宋_GB2312" w:hAnsi="仿宋_GB2312" w:cs="仿宋_GB2312" w:eastAsia="仿宋_GB2312"/>
              </w:rPr>
              <w:t>采购包2：1,363,332.00元</w:t>
            </w:r>
          </w:p>
          <w:p>
            <w:pPr>
              <w:pStyle w:val="null3"/>
            </w:pPr>
            <w:r>
              <w:rPr>
                <w:rFonts w:ascii="仿宋_GB2312" w:hAnsi="仿宋_GB2312" w:cs="仿宋_GB2312" w:eastAsia="仿宋_GB2312"/>
              </w:rPr>
              <w:t>采购包3：40,000.00元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金额参照《国家计委关于印发&lt;招标代理服务收费管理暂行办法&gt;的通知》（计价格[2002]1980号）和国家发改委办公厅颁发的《关于招标代理服务收费有关问题的通知》（发改办价格【2003】857号）的有关规定收取。由中标（成交）单位在领取中标（成交）通知书前一次性向采购代理机构支付。 缴纳账户： 名 称：陕西国信招标有限公司 开户行：西安银行股份有限公司咸宁中路支行 账 号：4120 1158 00000 61474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西安市雁塔区第二十四幼儿园</w:t>
      </w:r>
      <w:r>
        <w:rPr>
          <w:rFonts w:ascii="仿宋_GB2312" w:hAnsi="仿宋_GB2312" w:cs="仿宋_GB2312" w:eastAsia="仿宋_GB2312"/>
        </w:rPr>
        <w:t>和</w:t>
      </w:r>
      <w:r>
        <w:rPr>
          <w:rFonts w:ascii="仿宋_GB2312" w:hAnsi="仿宋_GB2312" w:cs="仿宋_GB2312" w:eastAsia="仿宋_GB2312"/>
        </w:rPr>
        <w:t>陕西国信招标有限公司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西安市雁塔区第二十四幼儿园</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西安市雁塔区第二十四幼儿园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已双方签订的合同为准。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已双方签订的合同为准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已双方签订的合同为准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联系人：高丹、孙翠</w:t>
      </w:r>
    </w:p>
    <w:p>
      <w:pPr>
        <w:pStyle w:val="null3"/>
      </w:pPr>
      <w:r>
        <w:rPr>
          <w:rFonts w:ascii="仿宋_GB2312" w:hAnsi="仿宋_GB2312" w:cs="仿宋_GB2312" w:eastAsia="仿宋_GB2312"/>
        </w:rPr>
        <w:t>联系电话：029-82680887</w:t>
      </w:r>
    </w:p>
    <w:p>
      <w:pPr>
        <w:pStyle w:val="null3"/>
      </w:pPr>
      <w:r>
        <w:rPr>
          <w:rFonts w:ascii="仿宋_GB2312" w:hAnsi="仿宋_GB2312" w:cs="仿宋_GB2312" w:eastAsia="仿宋_GB2312"/>
        </w:rPr>
        <w:t>地址：陕西省西安市曲江新区旺座曲江B座3105</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本项目拟对西安市雁塔区第二十四幼儿园2025年支持学前教育发展资金(公办幼儿园建设)设备采购项目进行采购，具体详见招标文件。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1,636,668.00</w:t>
      </w:r>
    </w:p>
    <w:p>
      <w:pPr>
        <w:pStyle w:val="null3"/>
      </w:pPr>
      <w:r>
        <w:rPr>
          <w:rFonts w:ascii="仿宋_GB2312" w:hAnsi="仿宋_GB2312" w:cs="仿宋_GB2312" w:eastAsia="仿宋_GB2312"/>
        </w:rPr>
        <w:t>采购包最高限价（元）: 1,636,668.00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家具、玩教具等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1,636,668.00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1,363,332.00</w:t>
      </w:r>
    </w:p>
    <w:p>
      <w:pPr>
        <w:pStyle w:val="null3"/>
      </w:pPr>
      <w:r>
        <w:rPr>
          <w:rFonts w:ascii="仿宋_GB2312" w:hAnsi="仿宋_GB2312" w:cs="仿宋_GB2312" w:eastAsia="仿宋_GB2312"/>
        </w:rPr>
        <w:t>采购包最高限价（元）: 1,363,332.00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教学设备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1,363,332.00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40,000.00</w:t>
      </w:r>
    </w:p>
    <w:p>
      <w:pPr>
        <w:pStyle w:val="null3"/>
      </w:pPr>
      <w:r>
        <w:rPr>
          <w:rFonts w:ascii="仿宋_GB2312" w:hAnsi="仿宋_GB2312" w:cs="仿宋_GB2312" w:eastAsia="仿宋_GB2312"/>
        </w:rPr>
        <w:t>采购包最高限价（元）: 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幼儿图书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标的名称：家具、玩教具等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rPr>
              <w:t>一、项目基本情况介绍</w:t>
            </w:r>
          </w:p>
          <w:p>
            <w:pPr>
              <w:pStyle w:val="null3"/>
              <w:ind w:firstLine="420"/>
              <w:jc w:val="both"/>
            </w:pPr>
            <w:r>
              <w:rPr>
                <w:rFonts w:ascii="仿宋_GB2312" w:hAnsi="仿宋_GB2312" w:cs="仿宋_GB2312" w:eastAsia="仿宋_GB2312"/>
                <w:sz w:val="21"/>
                <w:shd w:fill="FFFFFF" w:val="clear"/>
              </w:rPr>
              <w:t>西安市雁塔区第二十四幼儿园</w:t>
            </w:r>
            <w:r>
              <w:rPr>
                <w:rFonts w:ascii="仿宋_GB2312" w:hAnsi="仿宋_GB2312" w:cs="仿宋_GB2312" w:eastAsia="仿宋_GB2312"/>
                <w:sz w:val="21"/>
                <w:shd w:fill="FFFFFF" w:val="clear"/>
              </w:rPr>
              <w:t>2025年支持学前教育发展资金(公办幼儿园建设)设备采购项</w:t>
            </w:r>
            <w:r>
              <w:rPr>
                <w:rFonts w:ascii="仿宋_GB2312" w:hAnsi="仿宋_GB2312" w:cs="仿宋_GB2312" w:eastAsia="仿宋_GB2312"/>
                <w:sz w:val="21"/>
                <w:shd w:fill="FFFFFF" w:val="clear"/>
              </w:rPr>
              <w:t>目，</w:t>
            </w:r>
            <w:r>
              <w:rPr>
                <w:rFonts w:ascii="仿宋_GB2312" w:hAnsi="仿宋_GB2312" w:cs="仿宋_GB2312" w:eastAsia="仿宋_GB2312"/>
                <w:sz w:val="21"/>
              </w:rPr>
              <w:t>采购内容：</w:t>
            </w:r>
            <w:r>
              <w:rPr>
                <w:rFonts w:ascii="仿宋_GB2312" w:hAnsi="仿宋_GB2312" w:cs="仿宋_GB2312" w:eastAsia="仿宋_GB2312"/>
                <w:sz w:val="21"/>
              </w:rPr>
              <w:t>:幼儿园玩教具、部室、办公设备等</w:t>
            </w:r>
            <w:r>
              <w:rPr>
                <w:rFonts w:ascii="仿宋_GB2312" w:hAnsi="仿宋_GB2312" w:cs="仿宋_GB2312" w:eastAsia="仿宋_GB2312"/>
                <w:sz w:val="21"/>
              </w:rPr>
              <w:t>，</w:t>
            </w:r>
            <w:r>
              <w:rPr>
                <w:rFonts w:ascii="仿宋_GB2312" w:hAnsi="仿宋_GB2312" w:cs="仿宋_GB2312" w:eastAsia="仿宋_GB2312"/>
                <w:sz w:val="21"/>
              </w:rPr>
              <w:t>主要功能或目标</w:t>
            </w:r>
            <w:r>
              <w:rPr>
                <w:rFonts w:ascii="仿宋_GB2312" w:hAnsi="仿宋_GB2312" w:cs="仿宋_GB2312" w:eastAsia="仿宋_GB2312"/>
                <w:sz w:val="21"/>
              </w:rPr>
              <w:t>:保障幼儿园日常生活用品的供应，提供良好的生活条件</w:t>
            </w:r>
            <w:r>
              <w:rPr>
                <w:rFonts w:ascii="仿宋_GB2312" w:hAnsi="仿宋_GB2312" w:cs="仿宋_GB2312" w:eastAsia="仿宋_GB2312"/>
                <w:sz w:val="21"/>
              </w:rPr>
              <w:t>；</w:t>
            </w:r>
            <w:r>
              <w:rPr>
                <w:rFonts w:ascii="仿宋_GB2312" w:hAnsi="仿宋_GB2312" w:cs="仿宋_GB2312" w:eastAsia="仿宋_GB2312"/>
                <w:sz w:val="21"/>
              </w:rPr>
              <w:t>保障幼儿园基础运转，创建良好办公条件，顺利开展保育教育活动。需满足的要求</w:t>
            </w:r>
            <w:r>
              <w:rPr>
                <w:rFonts w:ascii="仿宋_GB2312" w:hAnsi="仿宋_GB2312" w:cs="仿宋_GB2312" w:eastAsia="仿宋_GB2312"/>
                <w:sz w:val="21"/>
              </w:rPr>
              <w:t>:保障幼儿园日常生活用品的供应和幼儿园基础运转，创建良好办公条件，顺利开展保育教育活动。同时，确保采购物资的质量和安全性。</w:t>
            </w:r>
            <w:r>
              <w:rPr>
                <w:rFonts w:ascii="仿宋_GB2312" w:hAnsi="仿宋_GB2312" w:cs="仿宋_GB2312" w:eastAsia="仿宋_GB2312"/>
                <w:sz w:val="21"/>
              </w:rPr>
              <w:t>本项目分为</w:t>
            </w:r>
            <w:r>
              <w:rPr>
                <w:rFonts w:ascii="仿宋_GB2312" w:hAnsi="仿宋_GB2312" w:cs="仿宋_GB2312" w:eastAsia="仿宋_GB2312"/>
                <w:sz w:val="21"/>
              </w:rPr>
              <w:t>3个包，</w:t>
            </w:r>
            <w:r>
              <w:rPr>
                <w:rFonts w:ascii="仿宋_GB2312" w:hAnsi="仿宋_GB2312" w:cs="仿宋_GB2312" w:eastAsia="仿宋_GB2312"/>
                <w:sz w:val="21"/>
              </w:rPr>
              <w:t>清单详见采购清单。</w:t>
            </w:r>
          </w:p>
          <w:p>
            <w:pPr>
              <w:pStyle w:val="null3"/>
              <w:jc w:val="both"/>
            </w:pPr>
            <w:r>
              <w:rPr>
                <w:rFonts w:ascii="仿宋_GB2312" w:hAnsi="仿宋_GB2312" w:cs="仿宋_GB2312" w:eastAsia="仿宋_GB2312"/>
                <w:sz w:val="28"/>
                <w:b/>
              </w:rPr>
              <w:t>合同包</w:t>
            </w:r>
            <w:r>
              <w:rPr>
                <w:rFonts w:ascii="仿宋_GB2312" w:hAnsi="仿宋_GB2312" w:cs="仿宋_GB2312" w:eastAsia="仿宋_GB2312"/>
                <w:sz w:val="28"/>
                <w:b/>
              </w:rPr>
              <w:t>1</w:t>
            </w:r>
            <w:r>
              <w:rPr>
                <w:rFonts w:ascii="仿宋_GB2312" w:hAnsi="仿宋_GB2312" w:cs="仿宋_GB2312" w:eastAsia="仿宋_GB2312"/>
                <w:sz w:val="28"/>
                <w:b/>
                <w:color w:val="000000"/>
              </w:rPr>
              <w:t>（核心产品：</w:t>
            </w:r>
            <w:r>
              <w:rPr>
                <w:rFonts w:ascii="仿宋_GB2312" w:hAnsi="仿宋_GB2312" w:cs="仿宋_GB2312" w:eastAsia="仿宋_GB2312"/>
                <w:sz w:val="28"/>
                <w:b/>
              </w:rPr>
              <w:t>长方桌）</w:t>
            </w:r>
          </w:p>
          <w:p>
            <w:pPr>
              <w:pStyle w:val="null3"/>
              <w:jc w:val="both"/>
            </w:pPr>
            <w:r>
              <w:rPr>
                <w:rFonts w:ascii="仿宋_GB2312" w:hAnsi="仿宋_GB2312" w:cs="仿宋_GB2312" w:eastAsia="仿宋_GB2312"/>
                <w:sz w:val="28"/>
                <w:b/>
                <w:color w:val="000000"/>
              </w:rPr>
              <w:t>清单详见附件-采购需求包1。</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标的名称：教学设备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合同包</w:t>
            </w:r>
            <w:r>
              <w:rPr>
                <w:rFonts w:ascii="仿宋_GB2312" w:hAnsi="仿宋_GB2312" w:cs="仿宋_GB2312" w:eastAsia="仿宋_GB2312"/>
                <w:sz w:val="28"/>
                <w:b/>
              </w:rPr>
              <w:t>2</w:t>
            </w:r>
            <w:r>
              <w:rPr>
                <w:rFonts w:ascii="仿宋_GB2312" w:hAnsi="仿宋_GB2312" w:cs="仿宋_GB2312" w:eastAsia="仿宋_GB2312"/>
                <w:sz w:val="28"/>
                <w:b/>
                <w:color w:val="000000"/>
              </w:rPr>
              <w:t>（核心产品：教学一体机）</w:t>
            </w:r>
          </w:p>
          <w:p>
            <w:pPr>
              <w:pStyle w:val="null3"/>
              <w:jc w:val="both"/>
            </w:pPr>
            <w:r>
              <w:rPr>
                <w:rFonts w:ascii="仿宋_GB2312" w:hAnsi="仿宋_GB2312" w:cs="仿宋_GB2312" w:eastAsia="仿宋_GB2312"/>
                <w:sz w:val="21"/>
                <w:b/>
                <w:color w:val="000000"/>
              </w:rPr>
              <w:t>清单详见附件-采购需求包2</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标的名称：幼儿图书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color w:val="000000"/>
              </w:rPr>
              <w:t>合同包</w:t>
            </w:r>
            <w:r>
              <w:rPr>
                <w:rFonts w:ascii="仿宋_GB2312" w:hAnsi="仿宋_GB2312" w:cs="仿宋_GB2312" w:eastAsia="仿宋_GB2312"/>
                <w:sz w:val="21"/>
                <w:b/>
                <w:color w:val="000000"/>
              </w:rPr>
              <w:t>3（图书采购）</w:t>
            </w:r>
          </w:p>
          <w:p>
            <w:pPr>
              <w:pStyle w:val="null3"/>
              <w:jc w:val="left"/>
            </w:pPr>
            <w:r>
              <w:rPr>
                <w:rFonts w:ascii="仿宋_GB2312" w:hAnsi="仿宋_GB2312" w:cs="仿宋_GB2312" w:eastAsia="仿宋_GB2312"/>
                <w:b/>
              </w:rPr>
              <w:t>清单详见附件-采购需求包3</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自合同签订后30个日历天供货安装调试完毕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自合同签订后30个日历天供货安装调试完毕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自合同签订后30个日历天到书率不得低于100%</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西安市雁塔区第二十四幼儿园指定地点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西安市雁塔区第二十四幼儿园指定地点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西安市雁塔区第二十四幼儿园指定地点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一次付清</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一次付清</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一次付清</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通过检验的货物方可进行安装、调试、达到使用条件时由甲方负责组织验收；验收合格须交接项目实施的全部资料，并填写政府采购项目验收报告单。验收须以合同、招投标文件、澄清、及国家相应的标准、规范等为依据。保证技术指标先进、质量性能可靠，全面满足采购要求。符合国家有关规范要求，确保达到最佳使用状态。环保要求：符合国家安全环保标准、国家有关产品质量认证标准。没有国家标准的，采用该产品有关行业标准（取较高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通过检验的货物方可进行安装、调试、达到使用条件时由甲方负责组织验收；验收合格须交接项目实施的全部资料，并填写政府采购项目验收报告单。验收须以合同、招投标文件、澄清、及国家相应的标准、规范等为依据。保证技术指标先进、质量性能可靠，全面满足采购要求。符合国家有关规范要求，确保达到最佳使用状态。环保要求：符合国家安全环保标准、国家有关产品质量认证标准。没有国家标准的，采用该产品有关行业标准（取较高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通过检验的货物达到使用条件时由甲方负责组织验收；验收合格须交接项目实施的全部资料，并填写政府采购项目验收报告单。验收须以合同、招投标文件、澄清、及国 家相应的标准、规范等为依据。保证技术指标先进、质量性能可靠，全面满足采购要求。符合国 家有关规范要求，确保达到最佳使用状态。环保要求：符合国家安全环保标准、国家有关产品质 量认证标准。没有国家标准的，采用该产品有关行业标准（取较高标准）。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自验收合格之日起3年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自验收合格之日起3年。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交货后六个月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以双方签订的合同为准。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以双方签订的合同为准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以双方签订的合同为准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购包1、采购包2）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2、（采购包3）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3、投标人可参与多个合同包投标,但只能中其中一个合同包。 4、（包1、包2）项目实施过程中的供货要求包括但不限于①成品保护方案②包装及运输方案③供货中遇到的紧急情况处理等； 实施方案包括但不限于①质量保证措施②实施进度计划③应急保障措施④安装调试方案⑤管理制度和协调方案⑥项目验收方案⑦项目团队配备方案⑧项目实施安全管理措施等； 售后服务包括但不限于①售后服务机构地址，电话联系人②售后服务人员组织③售后服务保障措施 ④产品交付采购方后出现质量问题的响应时间⑤供货不及时、出现残次品等补货换货解决方案⑥售后服务承诺等几点需在文件中说明。 （包3）质量保证要求包括但不限于①所投图书质量符合相关法规及标准，且包装、装帧、印刷等符合要求，无缺页、倒装、模糊不清、折页、开线、开胶、污损等②出版物为国家正规出版社出版的原版全新的正式出版物③无知识产权纠纷、无盗版④如图书质量不符合上述要求，必须无条件调换等； 实施方案包括但不限于①供货方案（含订购图书供货、定期新书样书提供等）②人员配备方案③图书到货率保证措施④提供采访数据和编目数据的承诺等； 售后服务包括但不限于 ①售后服务机构地址，电话联系人②售后服务人员组织③售后服务保障措施④产品交付采购方后出现质量问题的响应时间 ⑤供货不及时、出现残次品等补货换货解决方案 ⑥图书种类册数与对应清单不符；供应商应给予调换、补缺或退货⑦所有调换、补缺或退货所产生的全部费用，由投标人承担⑧调换、补缺投标人须在接到通知后规定的工作日内完成等； 加工能力、应急方案、追补订措施等几点需在文件中说明。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供应商资格证明文件（包1）.pdf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供应商资格证明文件（包1）.pdf</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供应商资格证明文件（包2）.pdf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供应商资格证明文件（包2）.pdf</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供应商资格证明文件（包3）.pdf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供应商资格证明文件（包3）.pdf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有效的资格主体证明</w:t>
            </w:r>
          </w:p>
        </w:tc>
        <w:tc>
          <w:tcPr>
            <w:tcW w:type="dxa" w:w="3322"/>
          </w:tcPr>
          <w:p>
            <w:pPr>
              <w:pStyle w:val="null3"/>
            </w:pPr>
            <w:r>
              <w:rPr>
                <w:rFonts w:ascii="仿宋_GB2312" w:hAnsi="仿宋_GB2312" w:cs="仿宋_GB2312" w:eastAsia="仿宋_GB2312"/>
              </w:rPr>
              <w:t>供应商须具备独立承担民事责任能力的法人、其他组织或自然人，提供营业执照或事业单位法人证书；自然人参与的提供其身份证明；</w:t>
            </w:r>
          </w:p>
        </w:tc>
        <w:tc>
          <w:tcPr>
            <w:tcW w:type="dxa" w:w="1661"/>
          </w:tcPr>
          <w:p>
            <w:pPr>
              <w:pStyle w:val="null3"/>
            </w:pPr>
            <w:r>
              <w:rPr>
                <w:rFonts w:ascii="仿宋_GB2312" w:hAnsi="仿宋_GB2312" w:cs="仿宋_GB2312" w:eastAsia="仿宋_GB2312"/>
              </w:rPr>
              <w:t>供应商资格证明文件（包1）.pdf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依法缴纳税收和社会保障资金的良好记录</w:t>
            </w:r>
          </w:p>
        </w:tc>
        <w:tc>
          <w:tcPr>
            <w:tcW w:type="dxa" w:w="3322"/>
          </w:tcPr>
          <w:p>
            <w:pPr>
              <w:pStyle w:val="null3"/>
            </w:pPr>
            <w:r>
              <w:rPr>
                <w:rFonts w:ascii="仿宋_GB2312" w:hAnsi="仿宋_GB2312" w:cs="仿宋_GB2312" w:eastAsia="仿宋_GB2312"/>
              </w:rPr>
              <w:t>依法缴纳税收的良好记录（提供截止至开标时间前12个月内任一月份的缴费凭据,依法免税的单位应提供相关证明材料）；依法缴纳社会保障资金的良好记录（提供截止至开标时间前12个月内任一月份的缴费凭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供应商资格证明文件（包1）.pdf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须提供2024年度的财务报告；或其基本开户银行出具的资信证明；或投标担保函（以上三种形式的资料提供任何一种即可）；</w:t>
            </w:r>
          </w:p>
        </w:tc>
        <w:tc>
          <w:tcPr>
            <w:tcW w:type="dxa" w:w="1661"/>
          </w:tcPr>
          <w:p>
            <w:pPr>
              <w:pStyle w:val="null3"/>
            </w:pPr>
            <w:r>
              <w:rPr>
                <w:rFonts w:ascii="仿宋_GB2312" w:hAnsi="仿宋_GB2312" w:cs="仿宋_GB2312" w:eastAsia="仿宋_GB2312"/>
              </w:rPr>
              <w:t>供应商资格证明文件（包1）.pdf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供应商资格证明文件（包1）.pdf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履行合同所必需的设备和专业技术能力的承诺；</w:t>
            </w:r>
          </w:p>
        </w:tc>
        <w:tc>
          <w:tcPr>
            <w:tcW w:type="dxa" w:w="1661"/>
          </w:tcPr>
          <w:p>
            <w:pPr>
              <w:pStyle w:val="null3"/>
            </w:pPr>
            <w:r>
              <w:rPr>
                <w:rFonts w:ascii="仿宋_GB2312" w:hAnsi="仿宋_GB2312" w:cs="仿宋_GB2312" w:eastAsia="仿宋_GB2312"/>
              </w:rPr>
              <w:t>供应商资格证明文件（包1）.pdf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法定代表人授权书及被授权人身份证明</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供应商应授权合法的人员参加投标全过程，其中法定代表人直接参加投标的，须出具法人身份证明。法定代表人授权代表参加投标的，须出具法定代表人授权书及及授权代表在本单位的社保缴纳证明；</w:t>
            </w:r>
          </w:p>
        </w:tc>
        <w:tc>
          <w:tcPr>
            <w:tcW w:type="dxa" w:w="1661"/>
          </w:tcPr>
          <w:p>
            <w:pPr>
              <w:pStyle w:val="null3"/>
            </w:pPr>
            <w:r>
              <w:rPr>
                <w:rFonts w:ascii="仿宋_GB2312" w:hAnsi="仿宋_GB2312" w:cs="仿宋_GB2312" w:eastAsia="仿宋_GB2312"/>
              </w:rPr>
              <w:t>供应商资格证明文件（包1）.pdf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供应商资格证明文件（包1）.pdf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本采购包为专门面向中小企业采购项目，供应商应为中型企业或小型、监狱企业或残疾人福利性单位；</w:t>
            </w:r>
          </w:p>
        </w:tc>
        <w:tc>
          <w:tcPr>
            <w:tcW w:type="dxa" w:w="1661"/>
          </w:tcPr>
          <w:p>
            <w:pPr>
              <w:pStyle w:val="null3"/>
            </w:pPr>
            <w:r>
              <w:rPr>
                <w:rFonts w:ascii="仿宋_GB2312" w:hAnsi="仿宋_GB2312" w:cs="仿宋_GB2312" w:eastAsia="仿宋_GB2312"/>
              </w:rPr>
              <w:t>供应商资格证明文件（包1）.pdf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有效的资格主体证明</w:t>
            </w:r>
          </w:p>
        </w:tc>
        <w:tc>
          <w:tcPr>
            <w:tcW w:type="dxa" w:w="3322"/>
          </w:tcPr>
          <w:p>
            <w:pPr>
              <w:pStyle w:val="null3"/>
            </w:pPr>
            <w:r>
              <w:rPr>
                <w:rFonts w:ascii="仿宋_GB2312" w:hAnsi="仿宋_GB2312" w:cs="仿宋_GB2312" w:eastAsia="仿宋_GB2312"/>
              </w:rPr>
              <w:t>供应商须具备独立承担民事责任能力的法人、其他组织或自然人，提供营业执照或事业单位法人证书；自然人参与的提供其身份证明；</w:t>
            </w:r>
          </w:p>
        </w:tc>
        <w:tc>
          <w:tcPr>
            <w:tcW w:type="dxa" w:w="1661"/>
          </w:tcPr>
          <w:p>
            <w:pPr>
              <w:pStyle w:val="null3"/>
            </w:pPr>
            <w:r>
              <w:rPr>
                <w:rFonts w:ascii="仿宋_GB2312" w:hAnsi="仿宋_GB2312" w:cs="仿宋_GB2312" w:eastAsia="仿宋_GB2312"/>
              </w:rPr>
              <w:t>供应商资格证明文件（包2）.pdf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依法缴纳税收和社会保障资金的良好记录</w:t>
            </w:r>
          </w:p>
        </w:tc>
        <w:tc>
          <w:tcPr>
            <w:tcW w:type="dxa" w:w="3322"/>
          </w:tcPr>
          <w:p>
            <w:pPr>
              <w:pStyle w:val="null3"/>
            </w:pPr>
            <w:r>
              <w:rPr>
                <w:rFonts w:ascii="仿宋_GB2312" w:hAnsi="仿宋_GB2312" w:cs="仿宋_GB2312" w:eastAsia="仿宋_GB2312"/>
              </w:rPr>
              <w:t>依法缴纳税收的良好记录（提供截止至开标时间前12个月内任一月份的缴费凭据,依法免税的单位应提供相关证明材料）；依法缴纳社会保障资金的良好记录（提供截止至开标时间前12个月内任一月份的缴费凭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供应商资格证明文件（包2）.pdf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须提供2024年度的财务报告；或其基本开户银行出具的资信证明；或投标担保函（以上三种形式的资料提供任何一种即可）；</w:t>
            </w:r>
          </w:p>
        </w:tc>
        <w:tc>
          <w:tcPr>
            <w:tcW w:type="dxa" w:w="1661"/>
          </w:tcPr>
          <w:p>
            <w:pPr>
              <w:pStyle w:val="null3"/>
            </w:pPr>
            <w:r>
              <w:rPr>
                <w:rFonts w:ascii="仿宋_GB2312" w:hAnsi="仿宋_GB2312" w:cs="仿宋_GB2312" w:eastAsia="仿宋_GB2312"/>
              </w:rPr>
              <w:t>供应商资格证明文件（包2）.pdf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供应商资格证明文件（包2）.pdf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履行合同所必需的设备和专业技术能力的承诺；</w:t>
            </w:r>
          </w:p>
        </w:tc>
        <w:tc>
          <w:tcPr>
            <w:tcW w:type="dxa" w:w="1661"/>
          </w:tcPr>
          <w:p>
            <w:pPr>
              <w:pStyle w:val="null3"/>
            </w:pPr>
            <w:r>
              <w:rPr>
                <w:rFonts w:ascii="仿宋_GB2312" w:hAnsi="仿宋_GB2312" w:cs="仿宋_GB2312" w:eastAsia="仿宋_GB2312"/>
              </w:rPr>
              <w:t>供应商资格证明文件（包2）.pdf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法定代表人授权书及被授权人身份证明</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供应商应授权合法的人员参加投标全过程，其中法定代表人直接参加投标的，须出具法人身份证明。法定代表人授权代表参加投标的，须出具法定代表人授权书及及授权代表在本单位的社保缴纳证明；</w:t>
            </w:r>
          </w:p>
        </w:tc>
        <w:tc>
          <w:tcPr>
            <w:tcW w:type="dxa" w:w="1661"/>
          </w:tcPr>
          <w:p>
            <w:pPr>
              <w:pStyle w:val="null3"/>
            </w:pPr>
            <w:r>
              <w:rPr>
                <w:rFonts w:ascii="仿宋_GB2312" w:hAnsi="仿宋_GB2312" w:cs="仿宋_GB2312" w:eastAsia="仿宋_GB2312"/>
              </w:rPr>
              <w:t>供应商资格证明文件（包2）.pdf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供应商资格证明文件（包2）.pdf</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有效的资格主体证明</w:t>
            </w:r>
          </w:p>
        </w:tc>
        <w:tc>
          <w:tcPr>
            <w:tcW w:type="dxa" w:w="3322"/>
          </w:tcPr>
          <w:p>
            <w:pPr>
              <w:pStyle w:val="null3"/>
            </w:pPr>
            <w:r>
              <w:rPr>
                <w:rFonts w:ascii="仿宋_GB2312" w:hAnsi="仿宋_GB2312" w:cs="仿宋_GB2312" w:eastAsia="仿宋_GB2312"/>
              </w:rPr>
              <w:t>供应商须具备独立承担民事责任能力的法人、其他组织或自然人，提供营业执照或事业单位法人证书；自然人参与的提供其身份证明；</w:t>
            </w:r>
          </w:p>
        </w:tc>
        <w:tc>
          <w:tcPr>
            <w:tcW w:type="dxa" w:w="1661"/>
          </w:tcPr>
          <w:p>
            <w:pPr>
              <w:pStyle w:val="null3"/>
            </w:pPr>
            <w:r>
              <w:rPr>
                <w:rFonts w:ascii="仿宋_GB2312" w:hAnsi="仿宋_GB2312" w:cs="仿宋_GB2312" w:eastAsia="仿宋_GB2312"/>
              </w:rPr>
              <w:t>供应商资格证明文件（包3）.pdf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依法缴纳税收和社会保障资金的良好记录</w:t>
            </w:r>
          </w:p>
        </w:tc>
        <w:tc>
          <w:tcPr>
            <w:tcW w:type="dxa" w:w="3322"/>
          </w:tcPr>
          <w:p>
            <w:pPr>
              <w:pStyle w:val="null3"/>
            </w:pPr>
            <w:r>
              <w:rPr>
                <w:rFonts w:ascii="仿宋_GB2312" w:hAnsi="仿宋_GB2312" w:cs="仿宋_GB2312" w:eastAsia="仿宋_GB2312"/>
              </w:rPr>
              <w:t>依法缴纳税收的良好记录（提供截止至开标时间前12个月内任一月份的缴费凭据,依法免税的单位应提供相关证明材料）；依法缴纳社会保障资金的良好记录（提供截止至开标时间前12个月内任一月份的缴费凭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供应商资格证明文件（包3）.pdf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须提供2024年度的财务报告；或其基本开户银行出具的资信证明；或投标担保函（以上三种形式的资料提供任何一种即可）；</w:t>
            </w:r>
          </w:p>
        </w:tc>
        <w:tc>
          <w:tcPr>
            <w:tcW w:type="dxa" w:w="1661"/>
          </w:tcPr>
          <w:p>
            <w:pPr>
              <w:pStyle w:val="null3"/>
            </w:pPr>
            <w:r>
              <w:rPr>
                <w:rFonts w:ascii="仿宋_GB2312" w:hAnsi="仿宋_GB2312" w:cs="仿宋_GB2312" w:eastAsia="仿宋_GB2312"/>
              </w:rPr>
              <w:t>供应商资格证明文件（包3）.pdf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供应商须具有出版物经营许可证；</w:t>
            </w:r>
          </w:p>
        </w:tc>
        <w:tc>
          <w:tcPr>
            <w:tcW w:type="dxa" w:w="1661"/>
          </w:tcPr>
          <w:p>
            <w:pPr>
              <w:pStyle w:val="null3"/>
            </w:pPr>
            <w:r>
              <w:rPr>
                <w:rFonts w:ascii="仿宋_GB2312" w:hAnsi="仿宋_GB2312" w:cs="仿宋_GB2312" w:eastAsia="仿宋_GB2312"/>
              </w:rPr>
              <w:t>供应商资格证明文件（包3）.pdf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供应商资格证明文件（包3）.pdf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履行合同所必需的设备和专业技术能力的承诺；</w:t>
            </w:r>
          </w:p>
        </w:tc>
        <w:tc>
          <w:tcPr>
            <w:tcW w:type="dxa" w:w="1661"/>
          </w:tcPr>
          <w:p>
            <w:pPr>
              <w:pStyle w:val="null3"/>
            </w:pPr>
            <w:r>
              <w:rPr>
                <w:rFonts w:ascii="仿宋_GB2312" w:hAnsi="仿宋_GB2312" w:cs="仿宋_GB2312" w:eastAsia="仿宋_GB2312"/>
              </w:rPr>
              <w:t>供应商资格证明文件（包3）.pdf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法定代表人授权书及被授权人身份证明</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供应商应授权合法的人员参加投标全过程，其中法定代表人直接参加投标的，须出具法人身份证明。法定代表人授权代表参加投标的，须出具法定代表人授权书及及授权代表在本单位的社保缴纳证明；</w:t>
            </w:r>
          </w:p>
        </w:tc>
        <w:tc>
          <w:tcPr>
            <w:tcW w:type="dxa" w:w="1661"/>
          </w:tcPr>
          <w:p>
            <w:pPr>
              <w:pStyle w:val="null3"/>
            </w:pPr>
            <w:r>
              <w:rPr>
                <w:rFonts w:ascii="仿宋_GB2312" w:hAnsi="仿宋_GB2312" w:cs="仿宋_GB2312" w:eastAsia="仿宋_GB2312"/>
              </w:rPr>
              <w:t>供应商资格证明文件（包3）.pdf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供应商资格证明文件（包3）.pdf</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供应商资格证明文件（包1）.pdf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分项报价表（包1）.pdf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投标内容、投标报价、投标有效期、交货期、付款方式</w:t>
            </w:r>
          </w:p>
        </w:tc>
        <w:tc>
          <w:tcPr>
            <w:tcW w:type="dxa" w:w="3322"/>
          </w:tcPr>
          <w:p>
            <w:pPr>
              <w:pStyle w:val="null3"/>
            </w:pPr>
            <w:r>
              <w:rPr>
                <w:rFonts w:ascii="仿宋_GB2312" w:hAnsi="仿宋_GB2312" w:cs="仿宋_GB2312" w:eastAsia="仿宋_GB2312"/>
              </w:rPr>
              <w:t>1、投标内容是否完整； 2、投标文件的签署、盖章是否合格、有效； 3、投标报价是否唯一；4、投标有效期是否满足要求；5、投标报价是否未超过采购预算；6、交货期是否满足要求；7、付款方式是否完全响应。</w:t>
            </w:r>
          </w:p>
        </w:tc>
        <w:tc>
          <w:tcPr>
            <w:tcW w:type="dxa" w:w="1661"/>
          </w:tcPr>
          <w:p>
            <w:pPr>
              <w:pStyle w:val="null3"/>
            </w:pPr>
            <w:r>
              <w:rPr>
                <w:rFonts w:ascii="仿宋_GB2312" w:hAnsi="仿宋_GB2312" w:cs="仿宋_GB2312" w:eastAsia="仿宋_GB2312"/>
              </w:rPr>
              <w:t>开标一览表 业绩.docx 商务条款偏离表（包1）.pdf 中小企业声明函 技术条款偏离表（包1）.pdf 拒绝政府采购承诺书.pdf 投标方案说明书.pdf 投标函 供应商资格证明文件（包1）.pdf 残疾人福利性单位声明函 分项报价表（包1）.pdf 标的清单 投标人认为有必要补充说明的事宜（包1）.pdf 投标文件封面 选配件报价表（包1）.pdf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分项报价表（包2）.pdf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投标内容、投标报价、投标有效期、交货期、付款方式</w:t>
            </w:r>
          </w:p>
        </w:tc>
        <w:tc>
          <w:tcPr>
            <w:tcW w:type="dxa" w:w="3322"/>
          </w:tcPr>
          <w:p>
            <w:pPr>
              <w:pStyle w:val="null3"/>
            </w:pPr>
            <w:r>
              <w:rPr>
                <w:rFonts w:ascii="仿宋_GB2312" w:hAnsi="仿宋_GB2312" w:cs="仿宋_GB2312" w:eastAsia="仿宋_GB2312"/>
              </w:rPr>
              <w:t>1、投标内容是否完整； 2、投标文件的签署、盖章是否合格、有效； 3、投标报价是否唯一；4、投标有效期是否满足要求；5、投标报价是否未超过采购预算；6、交货期是否满足要求；7、付款方式是否完全响应。</w:t>
            </w:r>
          </w:p>
        </w:tc>
        <w:tc>
          <w:tcPr>
            <w:tcW w:type="dxa" w:w="1661"/>
          </w:tcPr>
          <w:p>
            <w:pPr>
              <w:pStyle w:val="null3"/>
            </w:pPr>
            <w:r>
              <w:rPr>
                <w:rFonts w:ascii="仿宋_GB2312" w:hAnsi="仿宋_GB2312" w:cs="仿宋_GB2312" w:eastAsia="仿宋_GB2312"/>
              </w:rPr>
              <w:t>业绩.docx 开标一览表 分项报价表（包2）.pdf 投标人认为有必要补充说明的事宜（包2）.pdf 中小企业声明函 选配件报价表（包2）.pdf 拒绝政府采购承诺书.pdf 投标方案说明书pdf 商务条款偏离表（包2）.pdf 投标函 残疾人福利性单位声明函 标的清单 投标文件封面 供应商资格证明文件（包2）.pdf 技术条款偏离表（包2）.pdf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投标报价表（包3）.pdf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投标内容、投标报价、投标有效期、交货期、付款方式</w:t>
            </w:r>
          </w:p>
        </w:tc>
        <w:tc>
          <w:tcPr>
            <w:tcW w:type="dxa" w:w="3322"/>
          </w:tcPr>
          <w:p>
            <w:pPr>
              <w:pStyle w:val="null3"/>
            </w:pPr>
            <w:r>
              <w:rPr>
                <w:rFonts w:ascii="仿宋_GB2312" w:hAnsi="仿宋_GB2312" w:cs="仿宋_GB2312" w:eastAsia="仿宋_GB2312"/>
              </w:rPr>
              <w:t>1、投标内容是否完整； 2、投标文件的签署、盖章是否合格、有效； 3、投标报价是否唯一；4、投标有效期是否满足要求；5、投标报价是否未超过采购预算；6、交货期是否满足要求；7、付款方式是否完全响应。</w:t>
            </w:r>
          </w:p>
        </w:tc>
        <w:tc>
          <w:tcPr>
            <w:tcW w:type="dxa" w:w="1661"/>
          </w:tcPr>
          <w:p>
            <w:pPr>
              <w:pStyle w:val="null3"/>
            </w:pPr>
            <w:r>
              <w:rPr>
                <w:rFonts w:ascii="仿宋_GB2312" w:hAnsi="仿宋_GB2312" w:cs="仿宋_GB2312" w:eastAsia="仿宋_GB2312"/>
              </w:rPr>
              <w:t>开标一览表 供应商资格证明文件（包3）.pdf 业绩.docx 中小企业声明函 技术条款偏离表（包3）.pdf 拒绝政府采购承诺书.pdf 商务条款偏离表（包3）.pdf 投标方案说明书.pdf 投标报价表（包3）.pdf 投标函 投标人认为有必要补充说明的事宜（包3）.pdf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产品参数</w:t>
            </w:r>
          </w:p>
        </w:tc>
        <w:tc>
          <w:tcPr>
            <w:tcW w:type="dxa" w:w="2492"/>
          </w:tcPr>
          <w:p>
            <w:pPr>
              <w:pStyle w:val="null3"/>
            </w:pPr>
            <w:r>
              <w:rPr>
                <w:rFonts w:ascii="仿宋_GB2312" w:hAnsi="仿宋_GB2312" w:cs="仿宋_GB2312" w:eastAsia="仿宋_GB2312"/>
              </w:rPr>
              <w:t>供应商提供所投产品主要技术指标 ，参数，性能证明材料（包括但不 限于测试报告、官网、功能截图、产品彩页等）；评审标准：完全满 足招标文件技术参数要求，得满分；一般技术参数一项不满足，扣0.2分；“▲ ”号项为重要技术参数，一项不满足扣2分，若有技术参数不满足，则所有不满足的扣分项累加，分数扣完为止。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技术条款偏离表（包1）.pdf</w:t>
            </w:r>
          </w:p>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供应商需提供核心产品及其他产品合法正规来源渠道证明文件：包括但不限于厂家授权、销售协议、代理协议等； 每提供一个计0.5分，最高计2分；未提供核心产品者不得分。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针对本项目提出具体的供货方案， 方案内容包含①成品保护方案②包装及运输方案③供货中遇到的紧急情况等处理方案；每一项2分，满分为6分。 评审标准：方案每项内容全面详细、阐述条例清晰详尽完整得2分；方案每项内容基本详细、阐述条例较详尽得1分。 方案每项内容不详细、阐述条例不清晰得0.5分。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根据供应商针对本项目的①质量保证措施②实施进度计划③应急保障措施④安装调试方案⑤管理制度和协调方案⑥项目验收方案⑦项目团队配备方案⑧项目实施安全管理措施响应情况进行赋分； 每一项2.5分，满分为20分。 评审标准：方案每项内容全面详细、阐述条例清晰详尽完整得2.5分；方案每项内容基本详细、阐述条例较详尽得1.5分。 方案每项内容不详细、阐述条例不清晰得0.5分。 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供应商针对本项目提出具体的售后服务方案，方案内容包含：①售后服务机构地址，电话联系人②售后服务人员组织③售后服务保障措施 ④产品交付采购方后出现质量问题的响应时间⑤供货不及时、出现残次品等补货换货解决方案⑥售后服务承诺；每一项2.0分，满分12分。 评审标准：方案每项内容全面详细、阐述条例清晰详尽完整得2.0分；方案每项内容基本详细、阐述条例较详尽得1.0分。 方案每项内容不详细、阐述条例不清晰得0.5分。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 2022年5月1日以来至今类似项目业绩，每提供 1 份得1分，满分 5 分。 注：须提供中标通知书或合同（协议）复印件并加盖公章，以中标通知书或合同（协议）签订时间为准，不提供者不计分。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价格分采用低价优先法计算，即满足招标文件要求且投标价格最低的投标报价为评标基准价，其价格分为满分。其他供应商的价格分统一按照下列公式计算： 投标报价得分=（评标基准价/投标评审价）×价格权值×100 评标委员会认为供应商的报价明显低于其他通过符合性审查供应商的报价，有可能影响质量或者不能诚信履约的，应当要求其在评标现场合理的时间内提供书面说明，必要时提交相关证明材料；供应商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产品参数</w:t>
            </w:r>
          </w:p>
        </w:tc>
        <w:tc>
          <w:tcPr>
            <w:tcW w:type="dxa" w:w="2492"/>
          </w:tcPr>
          <w:p>
            <w:pPr>
              <w:pStyle w:val="null3"/>
            </w:pPr>
            <w:r>
              <w:rPr>
                <w:rFonts w:ascii="仿宋_GB2312" w:hAnsi="仿宋_GB2312" w:cs="仿宋_GB2312" w:eastAsia="仿宋_GB2312"/>
              </w:rPr>
              <w:t>供应商提供所投产品主要技术指标 ，参数，性能证明材料（包括但不 限于测试报告、官网、功能截图、产品彩页等）；评审标准：完全满 足招标文件技术参数要求，得满分；一般技术参数一项不满足，扣0.2分；“▲ ”号项为重要技术参数，一项不满足扣2分，若有技术参数不满足，则所有不满足的扣分项累加，分数扣完为止。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技术条款偏离表（包2）.pdf</w:t>
            </w:r>
          </w:p>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供应商需提供核心产品及其他产品合法正规来源渠道证明文件：包括但不限于厂家授权、销售协议、代理协议等； 每提供一个计0.5分，最高计2分；未提供核心产品者不得分。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针对本项目提出具体的供货方案， 方案内容包含①成品保护方案②包装及运输方案③供货中遇到的紧急情况等处理方案；每一项2分，满分为6分。 评审标准：方案每项内容全面详细、阐述条例清晰详尽完整得2分；方案每项内容基本详细、阐述条例较详尽得1分。 方案每项内容不详细、阐述条例不清晰得0.5分。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根据供应商针对本项目的①质量保证措施②实施进度计划③应急保障措施④安装调试方案⑤管理制度和协调方案⑥项目验收方案⑦项目团队配备方案⑧项目实施安全管理措施响应情况进行赋分； 每一项2.5分，满分为20分。 评审标准：方案每项内容全面详细、阐述条例清晰详尽完整得2.5分；方案每项内容基本详细、阐述条例较详尽得1.5分。 方案每项内容不详细、阐述条例不清晰得0.5分。 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供应商针对本项目提出具体的售后服务方案，方案内容包含：①售后服务机构地址，电话联系人②售后服务人员组织③售后服务保障措施 ④产品交付采购方后出现质量问题的响应时间⑤供货不及时、出现残次品等补货换货解决方案⑥售后服务承诺；每一项2.0分，满分12分。 评审标准：方案每项内容全面详细、阐述条例清晰详尽完整得2.0分；方案每项内容基本详细、阐述条例较详尽得1.0分。 方案每项内容不详细、阐述条例不清晰得0.5分。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 2022年5月1日以来至今类似项目业绩，每提供 1 份得1分，满分 5 分。 注：须提供中标通知书或合同（协议）复印件并加盖公章，以中标通知书或合同（协议）签订时间为准，不提供者不计分。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价格分采用低价优先法计算，即满足招标文件要求且投标价格最低的投标报价为评标基准价，其价格分为满分。其他供应商的价格分统一按照下列公式计算： 投标报价得分=（评标基准价/投标评审价）×价格权值×100 评标委员会认为供应商的报价明显低于其他通过符合性审查供应商的报价，有可能影响质量或者不能诚信履约的，应当要求其在评标现场合理的时间内提供书面说明，必要时提交相关证明材料；供应商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履约能力1</w:t>
            </w:r>
          </w:p>
        </w:tc>
        <w:tc>
          <w:tcPr>
            <w:tcW w:type="dxa" w:w="2492"/>
          </w:tcPr>
          <w:p>
            <w:pPr>
              <w:pStyle w:val="null3"/>
            </w:pPr>
            <w:r>
              <w:rPr>
                <w:rFonts w:ascii="仿宋_GB2312" w:hAnsi="仿宋_GB2312" w:cs="仿宋_GB2312" w:eastAsia="仿宋_GB2312"/>
              </w:rPr>
              <w:t>提供所供图书的合法来源渠道，（包括但不限于销售协议或代理协议或有效期内的出版社授权 等），每提供1份计1分，满分12分。 未提供的不计分。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技术条款偏离表（包3）.pdf</w:t>
            </w:r>
          </w:p>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针对本项目的图书质量保证，承诺以下内容并提供相应的保障措施： ①所投图书质量符合相关法规及标准，且包装、装帧、印刷等符合要求，无缺页、倒装、模糊不清、折页、开线、开胶、污损等；②出版物为国家正规出版社出版的原版全新的正式出版物；③无知识产权纠纷、无盗版；④如图书质量不符合上述要求，必须无条件调换。每一项2分，满分为8分。 评审标准：每项内容全面详细、阐述条例清晰详尽完整得2分； 每项内容基本详细、阐述条例较详尽得1分。 每项内容不详细、阐述条例不清晰得0.5分。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追补订措施</w:t>
            </w:r>
          </w:p>
        </w:tc>
        <w:tc>
          <w:tcPr>
            <w:tcW w:type="dxa" w:w="2492"/>
          </w:tcPr>
          <w:p>
            <w:pPr>
              <w:pStyle w:val="null3"/>
            </w:pPr>
            <w:r>
              <w:rPr>
                <w:rFonts w:ascii="仿宋_GB2312" w:hAnsi="仿宋_GB2312" w:cs="仿宋_GB2312" w:eastAsia="仿宋_GB2312"/>
              </w:rPr>
              <w:t>投标人提供追补订图书措施。 1 、 响应内容充实，切合实际，完全符合采购人需求，违约保证严格的计5分； 2 、有响应的，但内容空泛的计3分； 3 、响应方法不切合实际，违约保证避重就轻的计1分；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对本项目提供具体的实施方案，包括：①供货方案（含订购图书供货、定期新书样书提供等）；②人员配备方案；③图书到货率保证措施 ； ④提供采访数据和编目数据的承诺等。每一项2.5分，满分为10分。 评审标准：每项内容全面详细、阐述条例清晰详尽完整得2.5分； 每项内容基本详细、阐述条例较详尽得1.5分。 每项内容不详细、阐述条例不清晰得0.5分。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加工能力</w:t>
            </w:r>
          </w:p>
        </w:tc>
        <w:tc>
          <w:tcPr>
            <w:tcW w:type="dxa" w:w="2492"/>
          </w:tcPr>
          <w:p>
            <w:pPr>
              <w:pStyle w:val="null3"/>
            </w:pPr>
            <w:r>
              <w:rPr>
                <w:rFonts w:ascii="仿宋_GB2312" w:hAnsi="仿宋_GB2312" w:cs="仿宋_GB2312" w:eastAsia="仿宋_GB2312"/>
              </w:rPr>
              <w:t>针对本项目提供的加工服务方案，方案包含：①图书分类编目；②条码粘贴、磁条粘贴；③加盖馆藏章；④编目数据加工、书标粘贴。每一项2分，满分为8分。 评审标准：每项内容全面详细、阐述条例清晰详尽完整得2.0分； 每项内容基本详细、阐述条例较详尽得1.0分。 每项内容不详细、阐述条例不清晰得0.5分。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提供针对本项目的应急方案(包括但不限于产品运输、包装、检验、及产品出现质量问题时的应急补救措施等) 。 评审标准： 1.方案完整、实施性强 、针对性强，对评审内容中的各项要求描述详细得6分， 2.方案基本完整，针对性及实施性基本合理 ，对评审内容中的部分项要求描述 详细得4分，3 、方案简单，实施性不行，对评审内容中的各项要求描述粗略得1分。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售后服务响应： ①售后服务机构地址，电话联系人②售后服务人员组织③售后服务保障措施④产品交付采购方后出现质量问题的响应时间 ⑤供货不及时、出现残次品等补货换货解决方案 。每一项2分，满分为10分。 评审标准：每项内容全面详细、阐述条例清晰详尽完整得2.0分； 每项内容基本详细、阐述条例较详尽得1.0分。 每项内容不详细、阐述条例不清晰得0.5分。 未提供不得分。 售后服务承诺： ①图书种类册数与对应清单不符；供应商应给予调换、补缺或退货。②所有调换、补缺或退货所产生的全部费用，由投标人承担。③调换、补缺投标人须在接到通知后规定的工作日内完成。 每一项2分，满分为6分。 评审标准：每项内容全面详细、阐述条例清晰详尽完整得2.0分； 每项内容基本详细、阐述条例较详尽得1.0分。 每项内容不详细、阐述条例不清晰得0.5分。 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 2022年5月1日以来至今类似项目业绩，每提供 1 份得1分，满分 5 分。 注：须提供中标通知书或合同（协议）复印件并加盖公章，以中标通知书或合同（协议）签订时间为准，不提供者不计分。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投标报价即为折扣，即满招标文件要求且投标报价折扣最低的为评标基准价，其价格分为满分。 投标报价得分=（评标基准价/投标评审价）×价格权值×100 评标委员会认为供应商的报价明显低于其他通过符合性审查供应商的报价，有可能影响质量或者不能诚信履约的，应当要求其在评标现场合理的时间内提供书面说明，必要时提交相关证明材料；供应商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详见附件：供应商资格证明文件（包1）.pdf</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详见附件：分项报价表（包1）.pdf</w:t>
      </w:r>
    </w:p>
    <w:p>
      <w:pPr>
        <w:pStyle w:val="null3"/>
        <w:ind w:firstLine="960"/>
      </w:pPr>
      <w:r>
        <w:rPr>
          <w:rFonts w:ascii="仿宋_GB2312" w:hAnsi="仿宋_GB2312" w:cs="仿宋_GB2312" w:eastAsia="仿宋_GB2312"/>
        </w:rPr>
        <w:t>详见附件：商务条款偏离表（包1）.pdf</w:t>
      </w:r>
    </w:p>
    <w:p>
      <w:pPr>
        <w:pStyle w:val="null3"/>
        <w:ind w:firstLine="960"/>
      </w:pPr>
      <w:r>
        <w:rPr>
          <w:rFonts w:ascii="仿宋_GB2312" w:hAnsi="仿宋_GB2312" w:cs="仿宋_GB2312" w:eastAsia="仿宋_GB2312"/>
        </w:rPr>
        <w:t>详见附件：技术条款偏离表（包1）.pdf</w:t>
      </w:r>
    </w:p>
    <w:p>
      <w:pPr>
        <w:pStyle w:val="null3"/>
        <w:ind w:firstLine="960"/>
      </w:pPr>
      <w:r>
        <w:rPr>
          <w:rFonts w:ascii="仿宋_GB2312" w:hAnsi="仿宋_GB2312" w:cs="仿宋_GB2312" w:eastAsia="仿宋_GB2312"/>
        </w:rPr>
        <w:t>详见附件：投标人认为有必要补充说明的事宜（包1）.pdf</w:t>
      </w:r>
    </w:p>
    <w:p>
      <w:pPr>
        <w:pStyle w:val="null3"/>
        <w:ind w:firstLine="960"/>
      </w:pPr>
      <w:r>
        <w:rPr>
          <w:rFonts w:ascii="仿宋_GB2312" w:hAnsi="仿宋_GB2312" w:cs="仿宋_GB2312" w:eastAsia="仿宋_GB2312"/>
        </w:rPr>
        <w:t>详见附件：投标方案说明书.pdf</w:t>
      </w:r>
    </w:p>
    <w:p>
      <w:pPr>
        <w:pStyle w:val="null3"/>
        <w:ind w:firstLine="960"/>
      </w:pPr>
      <w:r>
        <w:rPr>
          <w:rFonts w:ascii="仿宋_GB2312" w:hAnsi="仿宋_GB2312" w:cs="仿宋_GB2312" w:eastAsia="仿宋_GB2312"/>
        </w:rPr>
        <w:t>详见附件：拒绝政府采购承诺书.pdf</w:t>
      </w:r>
    </w:p>
    <w:p>
      <w:pPr>
        <w:pStyle w:val="null3"/>
        <w:ind w:firstLine="960"/>
      </w:pPr>
      <w:r>
        <w:rPr>
          <w:rFonts w:ascii="仿宋_GB2312" w:hAnsi="仿宋_GB2312" w:cs="仿宋_GB2312" w:eastAsia="仿宋_GB2312"/>
        </w:rPr>
        <w:t>详见附件：选配件报价表（包1）.pdf</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详见附件：供应商资格证明文件（包2）.pdf</w:t>
      </w:r>
    </w:p>
    <w:p>
      <w:pPr>
        <w:pStyle w:val="null3"/>
        <w:ind w:firstLine="960"/>
      </w:pPr>
      <w:r>
        <w:rPr>
          <w:rFonts w:ascii="仿宋_GB2312" w:hAnsi="仿宋_GB2312" w:cs="仿宋_GB2312" w:eastAsia="仿宋_GB2312"/>
        </w:rPr>
        <w:t>详见附件：分项报价表（包2）.pdf</w:t>
      </w:r>
    </w:p>
    <w:p>
      <w:pPr>
        <w:pStyle w:val="null3"/>
        <w:ind w:firstLine="960"/>
      </w:pPr>
      <w:r>
        <w:rPr>
          <w:rFonts w:ascii="仿宋_GB2312" w:hAnsi="仿宋_GB2312" w:cs="仿宋_GB2312" w:eastAsia="仿宋_GB2312"/>
        </w:rPr>
        <w:t>详见附件：技术条款偏离表（包2）.pdf</w:t>
      </w:r>
    </w:p>
    <w:p>
      <w:pPr>
        <w:pStyle w:val="null3"/>
        <w:ind w:firstLine="960"/>
      </w:pPr>
      <w:r>
        <w:rPr>
          <w:rFonts w:ascii="仿宋_GB2312" w:hAnsi="仿宋_GB2312" w:cs="仿宋_GB2312" w:eastAsia="仿宋_GB2312"/>
        </w:rPr>
        <w:t>详见附件：商务条款偏离表（包2）.pdf</w:t>
      </w:r>
    </w:p>
    <w:p>
      <w:pPr>
        <w:pStyle w:val="null3"/>
        <w:ind w:firstLine="960"/>
      </w:pPr>
      <w:r>
        <w:rPr>
          <w:rFonts w:ascii="仿宋_GB2312" w:hAnsi="仿宋_GB2312" w:cs="仿宋_GB2312" w:eastAsia="仿宋_GB2312"/>
        </w:rPr>
        <w:t>详见附件：投标方案说明书pdf</w:t>
      </w:r>
    </w:p>
    <w:p>
      <w:pPr>
        <w:pStyle w:val="null3"/>
        <w:ind w:firstLine="960"/>
      </w:pPr>
      <w:r>
        <w:rPr>
          <w:rFonts w:ascii="仿宋_GB2312" w:hAnsi="仿宋_GB2312" w:cs="仿宋_GB2312" w:eastAsia="仿宋_GB2312"/>
        </w:rPr>
        <w:t>详见附件：投标人认为有必要补充说明的事宜（包2）.pdf</w:t>
      </w:r>
    </w:p>
    <w:p>
      <w:pPr>
        <w:pStyle w:val="null3"/>
        <w:ind w:firstLine="960"/>
      </w:pPr>
      <w:r>
        <w:rPr>
          <w:rFonts w:ascii="仿宋_GB2312" w:hAnsi="仿宋_GB2312" w:cs="仿宋_GB2312" w:eastAsia="仿宋_GB2312"/>
        </w:rPr>
        <w:t>详见附件：选配件报价表（包2）.pdf</w:t>
      </w:r>
    </w:p>
    <w:p>
      <w:pPr>
        <w:pStyle w:val="null3"/>
        <w:ind w:firstLine="960"/>
      </w:pPr>
      <w:r>
        <w:rPr>
          <w:rFonts w:ascii="仿宋_GB2312" w:hAnsi="仿宋_GB2312" w:cs="仿宋_GB2312" w:eastAsia="仿宋_GB2312"/>
        </w:rPr>
        <w:t>详见附件：拒绝政府采购承诺书.pdf</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详见附件：技术条款偏离表（包3）.pdf</w:t>
      </w:r>
    </w:p>
    <w:p>
      <w:pPr>
        <w:pStyle w:val="null3"/>
        <w:ind w:firstLine="960"/>
      </w:pPr>
      <w:r>
        <w:rPr>
          <w:rFonts w:ascii="仿宋_GB2312" w:hAnsi="仿宋_GB2312" w:cs="仿宋_GB2312" w:eastAsia="仿宋_GB2312"/>
        </w:rPr>
        <w:t>详见附件：商务条款偏离表（包3）.pdf</w:t>
      </w:r>
    </w:p>
    <w:p>
      <w:pPr>
        <w:pStyle w:val="null3"/>
        <w:ind w:firstLine="960"/>
      </w:pPr>
      <w:r>
        <w:rPr>
          <w:rFonts w:ascii="仿宋_GB2312" w:hAnsi="仿宋_GB2312" w:cs="仿宋_GB2312" w:eastAsia="仿宋_GB2312"/>
        </w:rPr>
        <w:t>详见附件：投标方案说明书.pdf</w:t>
      </w:r>
    </w:p>
    <w:p>
      <w:pPr>
        <w:pStyle w:val="null3"/>
        <w:ind w:firstLine="960"/>
      </w:pPr>
      <w:r>
        <w:rPr>
          <w:rFonts w:ascii="仿宋_GB2312" w:hAnsi="仿宋_GB2312" w:cs="仿宋_GB2312" w:eastAsia="仿宋_GB2312"/>
        </w:rPr>
        <w:t>详见附件：投标人认为有必要补充说明的事宜（包3）.pdf</w:t>
      </w:r>
    </w:p>
    <w:p>
      <w:pPr>
        <w:pStyle w:val="null3"/>
        <w:ind w:firstLine="960"/>
      </w:pPr>
      <w:r>
        <w:rPr>
          <w:rFonts w:ascii="仿宋_GB2312" w:hAnsi="仿宋_GB2312" w:cs="仿宋_GB2312" w:eastAsia="仿宋_GB2312"/>
        </w:rPr>
        <w:t>详见附件：拒绝政府采购承诺书.pdf</w:t>
      </w:r>
    </w:p>
    <w:p>
      <w:pPr>
        <w:pStyle w:val="null3"/>
        <w:ind w:firstLine="960"/>
      </w:pPr>
      <w:r>
        <w:rPr>
          <w:rFonts w:ascii="仿宋_GB2312" w:hAnsi="仿宋_GB2312" w:cs="仿宋_GB2312" w:eastAsia="仿宋_GB2312"/>
        </w:rPr>
        <w:t>详见附件：投标报价表（包3）.pdf</w:t>
      </w:r>
    </w:p>
    <w:p>
      <w:pPr>
        <w:pStyle w:val="null3"/>
        <w:ind w:firstLine="960"/>
      </w:pPr>
      <w:r>
        <w:rPr>
          <w:rFonts w:ascii="仿宋_GB2312" w:hAnsi="仿宋_GB2312" w:cs="仿宋_GB2312" w:eastAsia="仿宋_GB2312"/>
        </w:rPr>
        <w:t>详见附件：供应商资格证明文件（包3）.pdf</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详见附件：政府采购合同（包1、包2、包3）.docx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