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EA7B6">
      <w:pPr>
        <w:keepNext w:val="0"/>
        <w:keepLines w:val="0"/>
        <w:pageBreakBefore w:val="0"/>
        <w:widowControl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部室维修改造及外墙防护罩更换工程合同</w:t>
      </w:r>
    </w:p>
    <w:p w14:paraId="19995D8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1DE5B03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乙方（中标人）： </w:t>
      </w:r>
    </w:p>
    <w:p w14:paraId="5966B0A6">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val="en-US" w:eastAsia="zh-CN"/>
        </w:rPr>
        <w:t>部室维修改造及外墙防护罩更换工程</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lang w:eastAsia="zh-CN"/>
        </w:rPr>
        <w:t>华夏国际项目管理（西安）有限公司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u w:val="single"/>
          <w:lang w:val="en-US" w:eastAsia="zh-CN"/>
        </w:rPr>
        <w:t xml:space="preserve"> 西安市雁塔区吉祥路小学</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val="en-US" w:eastAsia="zh-CN"/>
        </w:rPr>
        <w:t>成交单位</w:t>
      </w:r>
      <w:r>
        <w:rPr>
          <w:rFonts w:hint="eastAsia" w:ascii="仿宋" w:hAnsi="仿宋" w:eastAsia="仿宋" w:cs="仿宋"/>
          <w:bCs/>
          <w:color w:val="auto"/>
          <w:sz w:val="24"/>
          <w:szCs w:val="24"/>
          <w:highlight w:val="none"/>
        </w:rPr>
        <w:t>。</w:t>
      </w:r>
    </w:p>
    <w:p w14:paraId="3E838E6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3F1883DB">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78790CE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14258BF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5BE0D91A">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2935411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1、付款条件说明：合同签订后，达到付款条件起</w:t>
      </w:r>
      <w:r>
        <w:rPr>
          <w:rFonts w:hint="eastAsia" w:ascii="仿宋" w:hAnsi="仿宋" w:eastAsia="仿宋" w:cs="仿宋"/>
          <w:bCs/>
          <w:color w:val="auto"/>
          <w:sz w:val="24"/>
          <w:szCs w:val="24"/>
          <w:highlight w:val="none"/>
          <w:lang w:val="en-US" w:eastAsia="zh-CN"/>
        </w:rPr>
        <w:t>15</w:t>
      </w:r>
      <w:r>
        <w:rPr>
          <w:rFonts w:hint="eastAsia" w:ascii="仿宋" w:hAnsi="仿宋" w:eastAsia="仿宋" w:cs="仿宋"/>
          <w:bCs/>
          <w:color w:val="auto"/>
          <w:sz w:val="24"/>
          <w:szCs w:val="24"/>
          <w:highlight w:val="none"/>
          <w:lang w:eastAsia="zh-CN"/>
        </w:rPr>
        <w:t>日内，支付合同总金额的40.00%。</w:t>
      </w:r>
    </w:p>
    <w:p w14:paraId="16DD305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eastAsia="zh-CN"/>
        </w:rPr>
        <w:t>、付款条件说明：</w:t>
      </w:r>
      <w:r>
        <w:rPr>
          <w:rFonts w:hint="eastAsia" w:ascii="仿宋" w:hAnsi="仿宋" w:eastAsia="仿宋" w:cs="仿宋"/>
          <w:kern w:val="2"/>
          <w:sz w:val="24"/>
          <w:szCs w:val="24"/>
          <w:highlight w:val="none"/>
          <w:lang w:val="zh-CN" w:eastAsia="zh-CN" w:bidi="ar-SA"/>
        </w:rPr>
        <w:t>当承包人完成全部合同工程量、工程竣工，经发包人验收合格，承包人将竣工资料及相关质量证明文件交付发包人</w:t>
      </w:r>
      <w:r>
        <w:rPr>
          <w:rFonts w:hint="eastAsia" w:ascii="仿宋" w:hAnsi="仿宋" w:eastAsia="仿宋" w:cs="仿宋"/>
          <w:kern w:val="2"/>
          <w:sz w:val="24"/>
          <w:szCs w:val="24"/>
          <w:highlight w:val="none"/>
          <w:lang w:val="en-US" w:eastAsia="zh-CN" w:bidi="ar-SA"/>
        </w:rPr>
        <w:t>并</w:t>
      </w:r>
      <w:r>
        <w:rPr>
          <w:rFonts w:hint="eastAsia" w:ascii="仿宋" w:hAnsi="仿宋" w:eastAsia="仿宋" w:cs="仿宋"/>
          <w:kern w:val="2"/>
          <w:sz w:val="24"/>
          <w:szCs w:val="24"/>
          <w:highlight w:val="none"/>
          <w:lang w:val="zh-CN" w:eastAsia="zh-CN" w:bidi="ar-SA"/>
        </w:rPr>
        <w:t>完成工程审计后</w:t>
      </w:r>
      <w:r>
        <w:rPr>
          <w:rFonts w:hint="eastAsia" w:ascii="仿宋" w:hAnsi="仿宋" w:eastAsia="仿宋" w:cs="仿宋"/>
          <w:bCs/>
          <w:color w:val="auto"/>
          <w:sz w:val="24"/>
          <w:szCs w:val="24"/>
          <w:highlight w:val="none"/>
          <w:lang w:eastAsia="zh-CN"/>
        </w:rPr>
        <w:t>，达到付款条件起</w:t>
      </w:r>
      <w:r>
        <w:rPr>
          <w:rFonts w:hint="eastAsia" w:ascii="仿宋" w:hAnsi="仿宋" w:eastAsia="仿宋" w:cs="仿宋"/>
          <w:bCs/>
          <w:color w:val="auto"/>
          <w:sz w:val="24"/>
          <w:szCs w:val="24"/>
          <w:highlight w:val="none"/>
          <w:lang w:val="en-US" w:eastAsia="zh-CN"/>
        </w:rPr>
        <w:t>20</w:t>
      </w:r>
      <w:r>
        <w:rPr>
          <w:rFonts w:hint="eastAsia" w:ascii="仿宋" w:hAnsi="仿宋" w:eastAsia="仿宋" w:cs="仿宋"/>
          <w:bCs/>
          <w:color w:val="auto"/>
          <w:sz w:val="24"/>
          <w:szCs w:val="24"/>
          <w:highlight w:val="none"/>
          <w:lang w:eastAsia="zh-CN"/>
        </w:rPr>
        <w:t>日内，付至最终审定决算价款。</w:t>
      </w:r>
    </w:p>
    <w:p w14:paraId="0A82D7D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lang w:eastAsia="zh-CN"/>
        </w:rPr>
        <w:t>每次付款前中标单位须提供等额正规发票，最后一次付款时应提供剩余款项全额正规发票。</w:t>
      </w:r>
    </w:p>
    <w:p w14:paraId="0CA586F2">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3A0C13C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lang w:eastAsia="zh-CN"/>
        </w:rPr>
        <w:t>西安市雁塔区吉祥路小学。</w:t>
      </w:r>
    </w:p>
    <w:p w14:paraId="41EF474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lang w:eastAsia="zh-CN"/>
        </w:rPr>
        <w:t>合同签订之日起30日历日内完工</w:t>
      </w:r>
      <w:r>
        <w:rPr>
          <w:rFonts w:hint="eastAsia" w:ascii="仿宋" w:hAnsi="仿宋" w:eastAsia="仿宋" w:cs="仿宋"/>
          <w:bCs/>
          <w:color w:val="auto"/>
          <w:sz w:val="24"/>
          <w:szCs w:val="24"/>
          <w:highlight w:val="none"/>
        </w:rPr>
        <w:t>。</w:t>
      </w:r>
    </w:p>
    <w:p w14:paraId="43D3B1E4">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Cs/>
          <w:color w:val="auto"/>
          <w:kern w:val="2"/>
          <w:sz w:val="24"/>
          <w:szCs w:val="24"/>
          <w:highlight w:val="none"/>
          <w:lang w:val="en-US" w:eastAsia="zh-CN" w:bidi="ar-SA"/>
        </w:rPr>
        <w:t>（三）质量保修期：整体工程质保期不少于2年，防水、电气等隐蔽工程质保期不少于5年。</w:t>
      </w:r>
    </w:p>
    <w:p w14:paraId="0250B209">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49F01F5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079771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51CBE5C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1.装饰工程：符合《建筑装饰装修工程质量验收标准》，墙面平整无开裂，地面防滑耐磨，电气系统安全可靠。  </w:t>
      </w:r>
    </w:p>
    <w:p w14:paraId="47DFC7A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2.防护工程：防护罩安装牢固，抗腐蚀性能达标，外立面整体协调美观。</w:t>
      </w:r>
    </w:p>
    <w:p w14:paraId="03C8D69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3.环保要求：所有材料需提供环保检测报告，甲醛释放量符合国家标准。</w:t>
      </w:r>
    </w:p>
    <w:p w14:paraId="58B4805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4.教学适配性：功能布局满足教学需求（如实验室通风、音乐室声学环境）。</w:t>
      </w:r>
    </w:p>
    <w:p w14:paraId="74F4A045">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472CBAF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30ACC518">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772A44C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1CDAAEC7">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1A051F2F">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9AC25AD">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0BC21135">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（二）乙方责任：</w:t>
      </w:r>
    </w:p>
    <w:p w14:paraId="6A6F49D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26EE9B8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75CA40E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0654CED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7E65F76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6FB44759">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01E3A46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6A3474CA">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lang w:val="en-US" w:eastAsia="zh-CN"/>
        </w:rPr>
        <w:t>二</w:t>
      </w:r>
      <w:r>
        <w:rPr>
          <w:rFonts w:hint="eastAsia" w:ascii="仿宋" w:hAnsi="仿宋" w:eastAsia="仿宋" w:cs="仿宋"/>
          <w:color w:val="auto"/>
          <w:sz w:val="24"/>
          <w:szCs w:val="24"/>
          <w:highlight w:val="none"/>
        </w:rPr>
        <w:t>套，办理工程竣工结算手续，参加工程竣工验收。</w:t>
      </w:r>
    </w:p>
    <w:p w14:paraId="5DBE4D8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46C28C7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70BB627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6CF1B3A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0A43DC92">
      <w:pPr>
        <w:keepNext w:val="0"/>
        <w:keepLines w:val="0"/>
        <w:pageBreakBefore w:val="0"/>
        <w:widowControl w:val="0"/>
        <w:kinsoku/>
        <w:wordWrap/>
        <w:overflowPunct/>
        <w:topLinePunct w:val="0"/>
        <w:bidi w:val="0"/>
        <w:spacing w:line="36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6CF434C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28AA29D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32682F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61AFE99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5924E3B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r>
        <w:rPr>
          <w:rFonts w:hint="eastAsia" w:ascii="仿宋" w:hAnsi="仿宋" w:eastAsia="仿宋" w:cs="仿宋"/>
          <w:color w:val="auto"/>
          <w:sz w:val="24"/>
          <w:szCs w:val="24"/>
          <w:highlight w:val="none"/>
        </w:rPr>
        <w:t>清单表</w:t>
      </w:r>
    </w:p>
    <w:p w14:paraId="296D204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78A08B10">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57B4444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37AAED8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097E642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6AA06F5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59F144E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4D17679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72B9B3D0">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3FFAE59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452A1A4E">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1331676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784B3444">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35F1509E">
      <w:pPr>
        <w:keepNext w:val="0"/>
        <w:keepLines w:val="0"/>
        <w:pageBreakBefore w:val="0"/>
        <w:widowControl w:val="0"/>
        <w:tabs>
          <w:tab w:val="left" w:pos="0"/>
        </w:tabs>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份，正本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639265A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5"/>
        <w:tblW w:w="8403" w:type="dxa"/>
        <w:jc w:val="center"/>
        <w:tblLayout w:type="fixed"/>
        <w:tblCellMar>
          <w:top w:w="0" w:type="dxa"/>
          <w:left w:w="108" w:type="dxa"/>
          <w:bottom w:w="0" w:type="dxa"/>
          <w:right w:w="108" w:type="dxa"/>
        </w:tblCellMar>
      </w:tblPr>
      <w:tblGrid>
        <w:gridCol w:w="4201"/>
        <w:gridCol w:w="4202"/>
      </w:tblGrid>
      <w:tr w14:paraId="7BDEA01B">
        <w:tblPrEx>
          <w:tblCellMar>
            <w:top w:w="0" w:type="dxa"/>
            <w:left w:w="108" w:type="dxa"/>
            <w:bottom w:w="0" w:type="dxa"/>
            <w:right w:w="108" w:type="dxa"/>
          </w:tblCellMar>
        </w:tblPrEx>
        <w:trPr>
          <w:trHeight w:val="567" w:hRule="exact"/>
          <w:jc w:val="center"/>
        </w:trPr>
        <w:tc>
          <w:tcPr>
            <w:tcW w:w="4201" w:type="dxa"/>
            <w:noWrap/>
            <w:vAlign w:val="center"/>
          </w:tcPr>
          <w:p w14:paraId="5467244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45C53A6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2C5E22BF">
        <w:tblPrEx>
          <w:tblCellMar>
            <w:top w:w="0" w:type="dxa"/>
            <w:left w:w="108" w:type="dxa"/>
            <w:bottom w:w="0" w:type="dxa"/>
            <w:right w:w="108" w:type="dxa"/>
          </w:tblCellMar>
        </w:tblPrEx>
        <w:trPr>
          <w:trHeight w:val="567" w:hRule="exact"/>
          <w:jc w:val="center"/>
        </w:trPr>
        <w:tc>
          <w:tcPr>
            <w:tcW w:w="4201" w:type="dxa"/>
            <w:noWrap/>
            <w:vAlign w:val="center"/>
          </w:tcPr>
          <w:p w14:paraId="1DBE198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2AEACFE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21909792">
        <w:tblPrEx>
          <w:tblCellMar>
            <w:top w:w="0" w:type="dxa"/>
            <w:left w:w="108" w:type="dxa"/>
            <w:bottom w:w="0" w:type="dxa"/>
            <w:right w:w="108" w:type="dxa"/>
          </w:tblCellMar>
        </w:tblPrEx>
        <w:trPr>
          <w:trHeight w:val="567" w:hRule="exact"/>
          <w:jc w:val="center"/>
        </w:trPr>
        <w:tc>
          <w:tcPr>
            <w:tcW w:w="4201" w:type="dxa"/>
            <w:noWrap/>
            <w:vAlign w:val="center"/>
          </w:tcPr>
          <w:p w14:paraId="0FD2D62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59BFE9F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71E5C240">
        <w:tblPrEx>
          <w:tblCellMar>
            <w:top w:w="0" w:type="dxa"/>
            <w:left w:w="108" w:type="dxa"/>
            <w:bottom w:w="0" w:type="dxa"/>
            <w:right w:w="108" w:type="dxa"/>
          </w:tblCellMar>
        </w:tblPrEx>
        <w:trPr>
          <w:trHeight w:val="567" w:hRule="exact"/>
          <w:jc w:val="center"/>
        </w:trPr>
        <w:tc>
          <w:tcPr>
            <w:tcW w:w="4201" w:type="dxa"/>
            <w:noWrap/>
            <w:vAlign w:val="center"/>
          </w:tcPr>
          <w:p w14:paraId="3DFECFD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3229B18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56DA2899">
        <w:tblPrEx>
          <w:tblCellMar>
            <w:top w:w="0" w:type="dxa"/>
            <w:left w:w="108" w:type="dxa"/>
            <w:bottom w:w="0" w:type="dxa"/>
            <w:right w:w="108" w:type="dxa"/>
          </w:tblCellMar>
        </w:tblPrEx>
        <w:trPr>
          <w:trHeight w:val="567" w:hRule="exact"/>
          <w:jc w:val="center"/>
        </w:trPr>
        <w:tc>
          <w:tcPr>
            <w:tcW w:w="4201" w:type="dxa"/>
            <w:noWrap/>
            <w:vAlign w:val="center"/>
          </w:tcPr>
          <w:p w14:paraId="520301F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185B017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6D531B22">
        <w:tblPrEx>
          <w:tblCellMar>
            <w:top w:w="0" w:type="dxa"/>
            <w:left w:w="108" w:type="dxa"/>
            <w:bottom w:w="0" w:type="dxa"/>
            <w:right w:w="108" w:type="dxa"/>
          </w:tblCellMar>
        </w:tblPrEx>
        <w:trPr>
          <w:trHeight w:val="567" w:hRule="exact"/>
          <w:jc w:val="center"/>
        </w:trPr>
        <w:tc>
          <w:tcPr>
            <w:tcW w:w="4201" w:type="dxa"/>
            <w:noWrap/>
            <w:vAlign w:val="center"/>
          </w:tcPr>
          <w:p w14:paraId="3D24B31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044ADC0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777E9D90">
        <w:tblPrEx>
          <w:tblCellMar>
            <w:top w:w="0" w:type="dxa"/>
            <w:left w:w="108" w:type="dxa"/>
            <w:bottom w:w="0" w:type="dxa"/>
            <w:right w:w="108" w:type="dxa"/>
          </w:tblCellMar>
        </w:tblPrEx>
        <w:trPr>
          <w:trHeight w:val="567" w:hRule="exact"/>
          <w:jc w:val="center"/>
        </w:trPr>
        <w:tc>
          <w:tcPr>
            <w:tcW w:w="4201" w:type="dxa"/>
            <w:noWrap/>
            <w:vAlign w:val="center"/>
          </w:tcPr>
          <w:p w14:paraId="58D8553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5C82BE2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0C374114">
        <w:tblPrEx>
          <w:tblCellMar>
            <w:top w:w="0" w:type="dxa"/>
            <w:left w:w="108" w:type="dxa"/>
            <w:bottom w:w="0" w:type="dxa"/>
            <w:right w:w="108" w:type="dxa"/>
          </w:tblCellMar>
        </w:tblPrEx>
        <w:trPr>
          <w:trHeight w:val="567" w:hRule="exact"/>
          <w:jc w:val="center"/>
        </w:trPr>
        <w:tc>
          <w:tcPr>
            <w:tcW w:w="4201" w:type="dxa"/>
            <w:noWrap/>
            <w:vAlign w:val="center"/>
          </w:tcPr>
          <w:p w14:paraId="7FBE8AD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1A0AC29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7360D5B9">
        <w:tblPrEx>
          <w:tblCellMar>
            <w:top w:w="0" w:type="dxa"/>
            <w:left w:w="108" w:type="dxa"/>
            <w:bottom w:w="0" w:type="dxa"/>
            <w:right w:w="108" w:type="dxa"/>
          </w:tblCellMar>
        </w:tblPrEx>
        <w:trPr>
          <w:trHeight w:val="567" w:hRule="exact"/>
          <w:jc w:val="center"/>
        </w:trPr>
        <w:tc>
          <w:tcPr>
            <w:tcW w:w="4201" w:type="dxa"/>
            <w:noWrap/>
            <w:vAlign w:val="center"/>
          </w:tcPr>
          <w:p w14:paraId="0997F62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11921F0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6FAFAECD">
        <w:tblPrEx>
          <w:tblCellMar>
            <w:top w:w="0" w:type="dxa"/>
            <w:left w:w="108" w:type="dxa"/>
            <w:bottom w:w="0" w:type="dxa"/>
            <w:right w:w="108" w:type="dxa"/>
          </w:tblCellMar>
        </w:tblPrEx>
        <w:trPr>
          <w:trHeight w:val="567" w:hRule="exact"/>
          <w:jc w:val="center"/>
        </w:trPr>
        <w:tc>
          <w:tcPr>
            <w:tcW w:w="4201" w:type="dxa"/>
            <w:noWrap/>
            <w:vAlign w:val="center"/>
          </w:tcPr>
          <w:p w14:paraId="2F6BA69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ign w:val="center"/>
          </w:tcPr>
          <w:p w14:paraId="734B3B2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03A9EAE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0E7FBB"/>
    <w:rsid w:val="11F94D13"/>
    <w:rsid w:val="1A5E5F47"/>
    <w:rsid w:val="20962CE0"/>
    <w:rsid w:val="31812F8D"/>
    <w:rsid w:val="410E7FBB"/>
    <w:rsid w:val="4A322A2A"/>
    <w:rsid w:val="514567F8"/>
    <w:rsid w:val="5D687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line="360" w:lineRule="auto"/>
      <w:jc w:val="center"/>
      <w:outlineLvl w:val="0"/>
    </w:pPr>
    <w:rPr>
      <w:rFonts w:ascii="Times New Roman" w:hAnsi="Times New Roman" w:eastAsia="宋体"/>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next w:val="1"/>
    <w:qFormat/>
    <w:uiPriority w:val="99"/>
    <w:pPr>
      <w:spacing w:line="360" w:lineRule="auto"/>
      <w:ind w:left="424" w:leftChars="202" w:firstLine="567"/>
    </w:pPr>
    <w:rPr>
      <w:sz w:val="24"/>
      <w:szCs w:val="24"/>
    </w:rPr>
  </w:style>
  <w:style w:type="paragraph" w:styleId="4">
    <w:name w:val="Body Text First Indent 2"/>
    <w:basedOn w:val="3"/>
    <w:next w:val="1"/>
    <w:qFormat/>
    <w:uiPriority w:val="0"/>
    <w:pPr>
      <w:ind w:firstLine="420" w:firstLineChars="200"/>
    </w:pPr>
  </w:style>
  <w:style w:type="character" w:customStyle="1" w:styleId="7">
    <w:name w:val=" Char Char5"/>
    <w:link w:val="2"/>
    <w:qFormat/>
    <w:uiPriority w:val="0"/>
    <w:rPr>
      <w:rFonts w:ascii="Times New Roman" w:hAnsi="Times New Roman" w:eastAsia="宋体"/>
      <w:b/>
      <w:kern w:val="44"/>
      <w:sz w:val="4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2123</Words>
  <Characters>2153</Characters>
  <Lines>0</Lines>
  <Paragraphs>0</Paragraphs>
  <TotalTime>0</TotalTime>
  <ScaleCrop>false</ScaleCrop>
  <LinksUpToDate>false</LinksUpToDate>
  <CharactersWithSpaces>2203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2025-06-09T00:57:00Z</dcterms:created>
  <dc:creator>墨瞳</dc:creator>
  <cp:lastModifiedBy>1</cp:lastModifiedBy>
  <dcterms:modified xsi:type="dcterms:W3CDTF">2025-07-18T01:44:56Z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7265881701FF4CEA9658AFB5372D1ED9_11</vt:lpwstr>
  </property>
  <property fmtid="{D5CDD505-2E9C-101B-9397-08002B2CF9AE}" pid="4" name="KSOTemplateDocerSaveRecord">
    <vt:lpwstr>eyJoZGlkIjoiYWRjNjA3YjNkZTkyNDk4OTI5YWU2YmU2MzVkMmI4MTAiLCJ1c2VySWQiOiI0ODU3MDc4MjgifQ==</vt:lpwstr>
  </property>
</Properties>
</file>