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版本号：ZCXG-ZB-202504020250718001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2025年义务教育薄弱环节改善与能力提升工程项目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ZCXG-ZB-2025040</w:t>
      </w:r>
      <w:r>
        <w:br/>
      </w:r>
      <w:r>
        <w:br/>
      </w:r>
      <w:r>
        <w:br/>
      </w:r>
    </w:p>
    <w:p>
      <w:pPr>
        <w:pStyle w:val="null3"/>
        <w:jc w:val="center"/>
        <w:outlineLvl w:val="2"/>
      </w:pPr>
      <w:r>
        <w:rPr>
          <w:rFonts w:ascii="仿宋_GB2312" w:hAnsi="仿宋_GB2312" w:cs="仿宋_GB2312" w:eastAsia="仿宋_GB2312"/>
          <w:sz w:val="28"/>
          <w:b/>
        </w:rPr>
        <w:t>西安市雁塔区航天二一〇小学</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西安市雁塔区航天二一〇小学</w:t>
      </w:r>
      <w:r>
        <w:rPr>
          <w:rFonts w:ascii="仿宋_GB2312" w:hAnsi="仿宋_GB2312" w:cs="仿宋_GB2312" w:eastAsia="仿宋_GB2312"/>
        </w:rPr>
        <w:t>委托，拟对</w:t>
      </w:r>
      <w:r>
        <w:rPr>
          <w:rFonts w:ascii="仿宋_GB2312" w:hAnsi="仿宋_GB2312" w:cs="仿宋_GB2312" w:eastAsia="仿宋_GB2312"/>
        </w:rPr>
        <w:t>2025年义务教育薄弱环节改善与能力提升工程项目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2025年义务教育薄弱环节改善与能力提升工程项目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2025年义务教育薄弱环节改善与能力提升工程项目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采购包1（2025年义务教育薄弱环节改善与能力提升工程项目）：属于专门面向中小企业采购。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西安市雁塔区航天二一〇小学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西安市雁塔区电子城电子东街56号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采购包1：843,000.66元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代理服务费收费标准：1、根据《国家发展改革委关于进-步放开建设项目专业服务价格的通知 》(发改价格[2015]299号)的有关规定执行。 代理费缴存账户：账户名称：陕西众诚项目管理有限公司 账号：61050172370000001337 开户行：中国建设银行股份有限公司西安八里村支行 行号：105791000282 （备注：项目名称包号代理服务费）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西安市雁塔区航天二一〇小学</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西安市雁塔区航天二一〇小学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西安市雁塔区航天二一〇小学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843,000.66</w:t>
      </w:r>
    </w:p>
    <w:p>
      <w:pPr>
        <w:pStyle w:val="null3"/>
      </w:pPr>
      <w:r>
        <w:rPr>
          <w:rFonts w:ascii="仿宋_GB2312" w:hAnsi="仿宋_GB2312" w:cs="仿宋_GB2312" w:eastAsia="仿宋_GB2312"/>
        </w:rPr>
        <w:t>采购包最高限价（元）: 843,000.66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2025年义务教育薄弱环节改善与能力提升工程项目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843,000.66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标的名称：2025年义务教育薄弱环节改善与能力提升工程项目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left"/>
            </w:pPr>
            <w:r>
              <w:rPr>
                <w:rFonts w:ascii="仿宋_GB2312" w:hAnsi="仿宋_GB2312" w:cs="仿宋_GB2312" w:eastAsia="仿宋_GB2312"/>
                <w:sz w:val="28"/>
                <w:color w:val="000000"/>
              </w:rPr>
              <w:t>一、工程概况</w:t>
            </w:r>
          </w:p>
          <w:p>
            <w:pPr>
              <w:pStyle w:val="null3"/>
              <w:ind w:left="420"/>
              <w:jc w:val="left"/>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2025年义务教育薄弱环节改善与能力提升工程项目</w:t>
            </w:r>
          </w:p>
          <w:p>
            <w:pPr>
              <w:pStyle w:val="null3"/>
              <w:ind w:left="420"/>
              <w:jc w:val="left"/>
            </w:pPr>
            <w:r>
              <w:rPr>
                <w:rFonts w:ascii="仿宋_GB2312" w:hAnsi="仿宋_GB2312" w:cs="仿宋_GB2312" w:eastAsia="仿宋_GB2312"/>
                <w:sz w:val="28"/>
                <w:color w:val="000000"/>
              </w:rPr>
              <w:t>建设地点：</w:t>
            </w:r>
            <w:r>
              <w:rPr>
                <w:rFonts w:ascii="仿宋_GB2312" w:hAnsi="仿宋_GB2312" w:cs="仿宋_GB2312" w:eastAsia="仿宋_GB2312"/>
                <w:sz w:val="28"/>
                <w:color w:val="000000"/>
              </w:rPr>
              <w:t>西安市雁塔区航天二一〇小学</w:t>
            </w:r>
          </w:p>
          <w:p>
            <w:pPr>
              <w:pStyle w:val="null3"/>
              <w:ind w:left="420"/>
              <w:jc w:val="left"/>
            </w:pPr>
            <w:r>
              <w:rPr>
                <w:rFonts w:ascii="仿宋_GB2312" w:hAnsi="仿宋_GB2312" w:cs="仿宋_GB2312" w:eastAsia="仿宋_GB2312"/>
                <w:sz w:val="28"/>
                <w:color w:val="000000"/>
              </w:rPr>
              <w:t>建设单位：西安市雁塔区航天二一〇小学</w:t>
            </w:r>
          </w:p>
          <w:p>
            <w:pPr>
              <w:pStyle w:val="null3"/>
              <w:ind w:left="420"/>
              <w:jc w:val="left"/>
            </w:pPr>
            <w:r>
              <w:rPr>
                <w:rFonts w:ascii="仿宋_GB2312" w:hAnsi="仿宋_GB2312" w:cs="仿宋_GB2312" w:eastAsia="仿宋_GB2312"/>
                <w:sz w:val="28"/>
                <w:color w:val="000000"/>
              </w:rPr>
              <w:t>工程内容：楼梯扶手加高、围墙修缮、室外地面拆除后新做、更换门、以及电气改造等相关内容，具体详见工程量清单。</w:t>
            </w:r>
          </w:p>
          <w:p>
            <w:pPr>
              <w:pStyle w:val="null3"/>
              <w:ind w:left="135"/>
              <w:jc w:val="left"/>
            </w:pPr>
            <w:r>
              <w:rPr>
                <w:rFonts w:ascii="仿宋_GB2312" w:hAnsi="仿宋_GB2312" w:cs="仿宋_GB2312" w:eastAsia="仿宋_GB2312"/>
                <w:sz w:val="28"/>
                <w:color w:val="000000"/>
              </w:rPr>
              <w:t>二、编制范围</w:t>
            </w:r>
          </w:p>
          <w:p>
            <w:pPr>
              <w:pStyle w:val="null3"/>
              <w:ind w:left="420"/>
              <w:jc w:val="left"/>
            </w:pPr>
            <w:r>
              <w:rPr>
                <w:rFonts w:ascii="仿宋_GB2312" w:hAnsi="仿宋_GB2312" w:cs="仿宋_GB2312" w:eastAsia="仿宋_GB2312"/>
                <w:sz w:val="28"/>
                <w:color w:val="000000"/>
              </w:rPr>
              <w:t>2025年义务教育薄弱环节改善与能力提升工程项目图纸</w:t>
            </w:r>
            <w:r>
              <w:rPr>
                <w:rFonts w:ascii="仿宋_GB2312" w:hAnsi="仿宋_GB2312" w:cs="仿宋_GB2312" w:eastAsia="仿宋_GB2312"/>
                <w:sz w:val="28"/>
                <w:color w:val="000000"/>
              </w:rPr>
              <w:t>范围所有内容。</w:t>
            </w:r>
          </w:p>
          <w:p>
            <w:pPr>
              <w:pStyle w:val="null3"/>
              <w:ind w:left="135"/>
              <w:jc w:val="left"/>
            </w:pPr>
            <w:r>
              <w:rPr>
                <w:rFonts w:ascii="仿宋_GB2312" w:hAnsi="仿宋_GB2312" w:cs="仿宋_GB2312" w:eastAsia="仿宋_GB2312"/>
                <w:sz w:val="28"/>
                <w:color w:val="000000"/>
              </w:rPr>
              <w:t>三、编制依据</w:t>
            </w:r>
          </w:p>
          <w:p>
            <w:pPr>
              <w:pStyle w:val="null3"/>
              <w:ind w:left="420"/>
              <w:jc w:val="left"/>
            </w:pPr>
            <w:r>
              <w:rPr>
                <w:rFonts w:ascii="仿宋_GB2312" w:hAnsi="仿宋_GB2312" w:cs="仿宋_GB2312" w:eastAsia="仿宋_GB2312"/>
                <w:sz w:val="28"/>
                <w:color w:val="000000"/>
              </w:rPr>
              <w:t>1.《陕西省建设工程工程量清单计价标准及计算标准（2025）》；</w:t>
            </w:r>
          </w:p>
          <w:p>
            <w:pPr>
              <w:pStyle w:val="null3"/>
              <w:ind w:left="420"/>
              <w:jc w:val="left"/>
            </w:pPr>
            <w:r>
              <w:rPr>
                <w:rFonts w:ascii="仿宋_GB2312" w:hAnsi="仿宋_GB2312" w:cs="仿宋_GB2312" w:eastAsia="仿宋_GB2312"/>
                <w:sz w:val="28"/>
                <w:color w:val="000000"/>
              </w:rPr>
              <w:t>2.2025年义务教育薄弱环节改善与能力提升工程项目设计图纸；</w:t>
            </w:r>
          </w:p>
          <w:p>
            <w:pPr>
              <w:pStyle w:val="null3"/>
              <w:ind w:left="420"/>
              <w:jc w:val="left"/>
            </w:pPr>
            <w:r>
              <w:rPr>
                <w:rFonts w:ascii="仿宋_GB2312" w:hAnsi="仿宋_GB2312" w:cs="仿宋_GB2312" w:eastAsia="仿宋_GB2312"/>
                <w:sz w:val="28"/>
                <w:color w:val="000000"/>
              </w:rPr>
              <w:t>3.与建设工程项目有关的标准、规范、图集、技术资料；</w:t>
            </w:r>
          </w:p>
          <w:p>
            <w:pPr>
              <w:pStyle w:val="null3"/>
              <w:ind w:left="420"/>
              <w:jc w:val="left"/>
            </w:pPr>
            <w:r>
              <w:rPr>
                <w:rFonts w:ascii="仿宋_GB2312" w:hAnsi="仿宋_GB2312" w:cs="仿宋_GB2312" w:eastAsia="仿宋_GB2312"/>
                <w:sz w:val="28"/>
                <w:color w:val="000000"/>
              </w:rPr>
              <w:t>4.施工现场情况、工程特点及常规施工方案；</w:t>
            </w:r>
          </w:p>
          <w:p>
            <w:pPr>
              <w:pStyle w:val="null3"/>
              <w:ind w:left="420"/>
              <w:jc w:val="left"/>
            </w:pPr>
            <w:r>
              <w:rPr>
                <w:rFonts w:ascii="仿宋_GB2312" w:hAnsi="仿宋_GB2312" w:cs="仿宋_GB2312" w:eastAsia="仿宋_GB2312"/>
                <w:sz w:val="28"/>
                <w:color w:val="000000"/>
              </w:rPr>
              <w:t>5.其他相关资料。</w:t>
            </w:r>
          </w:p>
          <w:p>
            <w:pPr>
              <w:pStyle w:val="null3"/>
              <w:ind w:left="135"/>
              <w:jc w:val="left"/>
            </w:pPr>
            <w:r>
              <w:rPr>
                <w:rFonts w:ascii="仿宋_GB2312" w:hAnsi="仿宋_GB2312" w:cs="仿宋_GB2312" w:eastAsia="仿宋_GB2312"/>
                <w:sz w:val="28"/>
                <w:color w:val="000000"/>
              </w:rPr>
              <w:t>四、其他需说明事项</w:t>
            </w:r>
          </w:p>
          <w:p>
            <w:pPr>
              <w:pStyle w:val="null3"/>
              <w:ind w:left="420"/>
              <w:jc w:val="left"/>
            </w:pPr>
            <w:r>
              <w:rPr>
                <w:rFonts w:ascii="仿宋_GB2312" w:hAnsi="仿宋_GB2312" w:cs="仿宋_GB2312" w:eastAsia="仿宋_GB2312"/>
                <w:sz w:val="28"/>
                <w:color w:val="000000"/>
              </w:rPr>
              <w:t>1.围墙拆除处原防腐木墙保护支撑费用计入相应措施费；</w:t>
            </w:r>
          </w:p>
          <w:p>
            <w:pPr>
              <w:pStyle w:val="null3"/>
              <w:ind w:left="420"/>
              <w:jc w:val="left"/>
            </w:pPr>
            <w:r>
              <w:rPr>
                <w:rFonts w:ascii="仿宋_GB2312" w:hAnsi="仿宋_GB2312" w:cs="仿宋_GB2312" w:eastAsia="仿宋_GB2312"/>
                <w:sz w:val="28"/>
                <w:color w:val="000000"/>
              </w:rPr>
              <w:t>2.构造柱、圈梁未明确混凝土强度暂按C25计入；</w:t>
            </w:r>
          </w:p>
          <w:p>
            <w:pPr>
              <w:pStyle w:val="null3"/>
              <w:ind w:left="420"/>
              <w:jc w:val="left"/>
            </w:pPr>
            <w:r>
              <w:rPr>
                <w:rFonts w:ascii="仿宋_GB2312" w:hAnsi="仿宋_GB2312" w:cs="仿宋_GB2312" w:eastAsia="仿宋_GB2312"/>
                <w:sz w:val="28"/>
                <w:color w:val="000000"/>
              </w:rPr>
              <w:t>3.电缆YJV22-4x185+1x95室外部分暂按120米计入；</w:t>
            </w:r>
          </w:p>
          <w:p>
            <w:pPr>
              <w:pStyle w:val="null3"/>
              <w:ind w:left="420"/>
              <w:jc w:val="left"/>
            </w:pPr>
            <w:r>
              <w:rPr>
                <w:rFonts w:ascii="仿宋_GB2312" w:hAnsi="仿宋_GB2312" w:cs="仿宋_GB2312" w:eastAsia="仿宋_GB2312"/>
                <w:sz w:val="28"/>
                <w:color w:val="000000"/>
              </w:rPr>
              <w:t>4.配电箱HX、HX2、HX3不在本次范围内；</w:t>
            </w:r>
          </w:p>
          <w:p>
            <w:pPr>
              <w:pStyle w:val="null3"/>
              <w:ind w:left="420"/>
              <w:jc w:val="left"/>
            </w:pPr>
            <w:r>
              <w:rPr>
                <w:rFonts w:ascii="仿宋_GB2312" w:hAnsi="仿宋_GB2312" w:cs="仿宋_GB2312" w:eastAsia="仿宋_GB2312"/>
                <w:sz w:val="28"/>
                <w:color w:val="000000"/>
              </w:rPr>
              <w:t>5.暂列金额按8000.00元计入</w:t>
            </w:r>
            <w:r>
              <w:rPr>
                <w:rFonts w:ascii="仿宋_GB2312" w:hAnsi="仿宋_GB2312" w:cs="仿宋_GB2312" w:eastAsia="仿宋_GB2312"/>
                <w:sz w:val="28"/>
                <w:color w:val="000000"/>
              </w:rPr>
              <w:t>；</w:t>
            </w:r>
          </w:p>
          <w:p>
            <w:pPr>
              <w:pStyle w:val="null3"/>
              <w:ind w:left="420"/>
              <w:jc w:val="left"/>
            </w:pPr>
            <w:r>
              <w:rPr>
                <w:rFonts w:ascii="仿宋_GB2312" w:hAnsi="仿宋_GB2312" w:cs="仿宋_GB2312" w:eastAsia="仿宋_GB2312"/>
                <w:sz w:val="28"/>
                <w:color w:val="000000"/>
              </w:rPr>
              <w:t>6.专业工程暂估价按18000.00元计入；</w:t>
            </w:r>
          </w:p>
          <w:p>
            <w:pPr>
              <w:pStyle w:val="null3"/>
              <w:ind w:left="420"/>
              <w:jc w:val="left"/>
            </w:pPr>
            <w:r>
              <w:rPr>
                <w:rFonts w:ascii="仿宋_GB2312" w:hAnsi="仿宋_GB2312" w:cs="仿宋_GB2312" w:eastAsia="仿宋_GB2312"/>
                <w:sz w:val="28"/>
                <w:color w:val="000000"/>
              </w:rPr>
              <w:t>7.编制软件采用广联达云计价平台GCCP7.0软件，版本号7.5000.23.1。</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1、工期：25天； 2、付款方式：工程验收合格且出具正式项目竣工结算审计报告后，一次性支付审定造价的97%，留审定造价3%作为质保金，质保期满后无质量问题一次性无息退还(以此条为准）； 2、质保期：2年。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