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版本号：XBZB-2025-051.2B120250721001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陕西省西安市鄠邑区黄柏峪建筑石料用花岗岩矿非法采矿采出矿产品价值调查核算和生态环境损害司法鉴定采购项目(二次)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XBZB-2025-051.2B1</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陕西省西安市鄠邑区黄柏峪建筑石料用花岗岩矿非法采矿采出矿产品价值调查核算和生态环境损害司法鉴定采购项目(二次)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XBZB-2025-051.2B1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陕西省西安市鄠邑区黄柏峪建筑石料用花岗岩矿非法采矿采出矿产品价值调查核算和生态环境损害司法鉴定采购项目(二次)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区黄柏峪建筑石料用花岗岩矿项目位于鄠邑区城区168°方向,直线距离约15公里处的黄柏峪河上游曲峪村，属鄠邑区石井镇所辖。项目区域中心地理坐标为：东经108°38′28″，北纬33°59′03″，项目区域北距环山公路（S107省）黄柏峪山口7公里、曲峪山口5公里，其间有简易公路与南环线相接。 对鄠邑区黄柏峪建筑石料用黄岗岩矿区的森林生态系统环境损害状况进行调查，查明场地的破坏类型，明确造成森林生态系统环境损害的范围和程度，制定生态恢复或管控方案建议，量化生态环境损害损失数额。其中生态环境损害损失数额量化范围包括但不限于：清除污染费用、生态环境恢复费用、生态系统服务功能永久性损害造成的损失、生态系统受到损害至修复完成期间服务功能的损失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1、供应商资质：供应商须具备《司法鉴定许可证》（业务范围含土壤与地下水环境损害鉴定、生态系统环境损害鉴定）；</w:t>
      </w:r>
    </w:p>
    <w:p>
      <w:pPr>
        <w:pStyle w:val="null3"/>
      </w:pPr>
      <w:r>
        <w:rPr>
          <w:rFonts w:ascii="仿宋_GB2312" w:hAnsi="仿宋_GB2312" w:cs="仿宋_GB2312" w:eastAsia="仿宋_GB2312"/>
        </w:rPr>
        <w:t>2、法定代表人身份证明/法定代表人授权委托书：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p>
      <w:pPr>
        <w:pStyle w:val="null3"/>
      </w:pPr>
      <w:r>
        <w:rPr>
          <w:rFonts w:ascii="仿宋_GB2312" w:hAnsi="仿宋_GB2312" w:cs="仿宋_GB2312" w:eastAsia="仿宋_GB2312"/>
        </w:rPr>
        <w:t>3、供应商信用：供应商未被“信用中国”网站（www.creditchina.gov.cn）列入失信被执行人和重大税收违法失信主体，未被中国政府采购网（www.ccgp.gov.cn）列入政府采购严重违法失信行为记录名单。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4、非联合体投标声明：需提供非联合体投标声明函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029-81107670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13201529927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服务标准：鉴定过程及出具的鉴定意见应符合国家相关程序、标准及规范。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联系人：庞焕清</w:t>
      </w:r>
    </w:p>
    <w:p>
      <w:pPr>
        <w:pStyle w:val="null3"/>
      </w:pPr>
      <w:r>
        <w:rPr>
          <w:rFonts w:ascii="仿宋_GB2312" w:hAnsi="仿宋_GB2312" w:cs="仿宋_GB2312" w:eastAsia="仿宋_GB2312"/>
        </w:rPr>
        <w:t>联系电话：13201529927</w:t>
      </w:r>
    </w:p>
    <w:p>
      <w:pPr>
        <w:pStyle w:val="null3"/>
      </w:pPr>
      <w:r>
        <w:rPr>
          <w:rFonts w:ascii="仿宋_GB2312" w:hAnsi="仿宋_GB2312" w:cs="仿宋_GB2312" w:eastAsia="仿宋_GB2312"/>
        </w:rPr>
        <w:t>地址：陕西省西安市碑林区长安国际中心F座办公楼1702室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鄠邑区黄柏峪建筑石料用花岗岩矿项目位于鄠邑区城区168°方向,直线距离约15公里处的黄柏峪河上游曲峪村，属鄠邑区石井镇所辖。项目区域中心地理坐标为：东经108°38′28″，北纬33°59′03″，项目区域北距环山公路（S107省）黄柏峪山口7公里、曲峪山口5公里，其间有简易公路与南环线相接。 对鄠邑区黄柏峪建筑石料用黄岗岩矿区的森林生态系统环境损害状况进行调查，查明场地的破坏类型，明确造成森林生态系统环境损害的范围和程度，制定生态恢复或管控方案建议，量化生态环境损害损失数额。其中生态环境损害损失数额量化范围包括但不限于：清除污染费用、生态环境恢复费用、生态系统服务功能永久性损害造成的损失、生态系统受到损害至修复完成期间服务功能的损失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包2：陕西省西安市鄠邑区黄柏峪建筑石料用花岗岩矿生态环境损害司法鉴定项目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标的名称：包2：陕西省西安市鄠邑区黄柏峪建筑石料用花岗岩矿生态环境损害司法鉴定项目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spacing w:after="120"/>
              <w:ind w:firstLine="480"/>
              <w:jc w:val="both"/>
            </w:pPr>
            <w:r>
              <w:rPr>
                <w:rFonts w:ascii="仿宋_GB2312" w:hAnsi="仿宋_GB2312" w:cs="仿宋_GB2312" w:eastAsia="仿宋_GB2312"/>
                <w:sz w:val="24"/>
              </w:rPr>
              <w:t>鄠邑区黄柏峪建筑石料用花岗岩矿项目位于鄠邑区城区168°方向,直线距离约15公里处的黄柏峪河上游曲峪村，属鄠邑区石井镇所辖。项目区域中心地理坐标为：东经108°38′28″，北纬33°59′03″，项目区域北距环山公路（S107省）黄柏峪山口7公里、曲峪山口5公里，其间有简易公路与南环线相接。</w:t>
            </w:r>
          </w:p>
          <w:p>
            <w:pPr>
              <w:pStyle w:val="null3"/>
              <w:spacing w:after="120"/>
              <w:ind w:firstLine="480"/>
              <w:jc w:val="both"/>
            </w:pPr>
            <w:r>
              <w:rPr>
                <w:rFonts w:ascii="仿宋_GB2312" w:hAnsi="仿宋_GB2312" w:cs="仿宋_GB2312" w:eastAsia="仿宋_GB2312"/>
                <w:sz w:val="24"/>
              </w:rPr>
              <w:t>对鄠邑区黄柏峪建筑石料用黄岗岩矿区的森林生态系统环境损害状况进行调查，查明场地的破坏类型，明确造成森林生态系统环境损害的范围和程度，制定生态恢复或管控方案建议，量化生态环境损害损失数额。其中生态环境损害损失数额量化范围包括但不限于：清除污染费用、生态环境恢复费用、生态系统服务功能永久性损害造成的损失、生态系统受到损害至修复完成期间服务功能的损失等。</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执行标准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《中华人民共和国环境环境保护法》（2015年1月1日）；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《中华人民共和国土壤污染防治法》（2019年1月1日）；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《土壤污染防治行动计划》（国发〔2016〕31号）；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《污染地块土壤环境管理办法（试行）》（原环境保护令 第42号）。</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《中华人民共和国水污染防治法》；</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《地下水管理条例》（2021年12月1日）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《生态环境损害赔偿管理规定》（环法规[2022]31号）；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《土壤环境质量 建设用地土壤污染风险管控标准（试行）》（GB 36600-2018）；</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《土壤环境质量 农用地土壤污染风险管控标准（试行）》(GB 15618-2018）；</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《农用地土壤环境损害鉴定评估技术规范》（NY/T-2022）;</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《生态环境损害鉴定评估技术指南 总纲和关键环节第 1 部 分：总纲》（GB/T 39791.1-2020）；</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《生态环境损害鉴定评估技术指南 总纲和关键环节 第 2 部分：损害调查》（GB/T 39791.2-2020）；</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《土地利用现状分类》（GBT 21010-2017）；</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《生态环境损害鉴定评估技术指南 总纲和关键环节 第4部分：土壤生态环境基线调查与确定》（GB_T 39791.4—2024）；</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《地下水质量标准》（GB/T 14848-2017）；</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《生态环境损害鉴定评估技术指南 总纲和关键环节 第 3 部分：恢复效果评估》（GB/T 39791.3-2024）；</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《污染地块风险管控与土壤修复效果评估技术导则》（HJ 25.5-2018）；</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《污染地块地下水修复和风险管控技术导则》（HJ 25.6-2019）；</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《建设用地土壤污染风险管控和修复监测技术导则》（HJ 25.2-2019）</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《建设用地土壤污染风险评估技术导则》（HJ 25.3-2019）</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《建设用地土壤污染状况调查技术导则》（HJ 25.1-2019）</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《农田土壤环境质量监测技术规范》（NY-T 395-2012）</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《土壤环境监测技术规范》（HJ/T166-2004）</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《工业企业场地环境调查评估与修复工作指南（试行）》（环境保护部，2014年11月）</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国家其它现行的标准与规范。</w:t>
            </w:r>
          </w:p>
          <w:p>
            <w:pPr>
              <w:pStyle w:val="null3"/>
              <w:jc w:val="left"/>
            </w:pPr>
            <w:r>
              <w:rPr>
                <w:rFonts w:ascii="仿宋_GB2312" w:hAnsi="仿宋_GB2312" w:cs="仿宋_GB2312" w:eastAsia="仿宋_GB2312"/>
                <w:sz w:val="24"/>
                <w:b/>
              </w:rPr>
              <w:t>三、商务要求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、成果要求</w:t>
            </w:r>
          </w:p>
          <w:p>
            <w:pPr>
              <w:pStyle w:val="null3"/>
              <w:ind w:firstLine="480"/>
            </w:pPr>
            <w:r>
              <w:rPr>
                <w:rFonts w:ascii="仿宋_GB2312" w:hAnsi="仿宋_GB2312" w:cs="仿宋_GB2312" w:eastAsia="仿宋_GB2312"/>
                <w:sz w:val="24"/>
              </w:rPr>
              <w:t>（1）提交企业及土壤、地下水、地表水环境质量调查检测报告；</w:t>
            </w:r>
          </w:p>
          <w:p>
            <w:pPr>
              <w:pStyle w:val="null3"/>
              <w:ind w:firstLine="480"/>
            </w:pPr>
            <w:r>
              <w:rPr>
                <w:rFonts w:ascii="仿宋_GB2312" w:hAnsi="仿宋_GB2312" w:cs="仿宋_GB2312" w:eastAsia="仿宋_GB2312"/>
                <w:sz w:val="24"/>
              </w:rPr>
              <w:t>（2）提交污染环境或破坏生态导致的生态环境损害的司法鉴定意见书或鉴定评估报告；</w:t>
            </w:r>
          </w:p>
          <w:p>
            <w:pPr>
              <w:pStyle w:val="null3"/>
              <w:ind w:firstLine="480"/>
            </w:pPr>
            <w:r>
              <w:rPr>
                <w:rFonts w:ascii="仿宋_GB2312" w:hAnsi="仿宋_GB2312" w:cs="仿宋_GB2312" w:eastAsia="仿宋_GB2312"/>
                <w:sz w:val="24"/>
              </w:rPr>
              <w:t>（3）提交生态环境恢复效果评估报告及生态恢复方案。</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、服务期限：自合同签订后60日历天内完成鉴定报告的编制工作；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、付款方式：合同签订后5日内支付合同价款的60%；项目完成后，经过甲方验收合格后支付合同价款的40%;</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、服务标准：鉴定过程及出具的鉴定意见应符合国家相关程序、标准及规范。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自合同签订后60日历天内完成鉴定报告的编制工作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1.《中华人民共和国环境环境保护法》（2015年1月1日）； 2.《中华人民共和国土壤污染防治法》（2019年1月1日）； 3.《土壤污染防治行动计划》（国发〔2016〕31号）； 4.《污染地块土壤环境管理办法（试行）》（原环境保护令 第42号）。 5.《中华人民共和国水污染防治法》； 6.《地下水管理条例》（2021年12月1日） 7.《生态环境损害赔偿管理规定》（环法规[2022]31号）； 8.《土壤环境质量 建设用地土壤污染风险管控标准（试行）》（GB 36600-2018）； 9.《土壤环境质量 农用地土壤污染风险管控标准（试行）》(GB 15618-2018）； 10.《农用地土壤环境损害鉴定评估技术规范》（NY/T-2022）; 11.《生态环境损害鉴定评估技术指南 总纲和关键环节第 1 部 分：总纲》（GB/T 39791.1-2020）； 12.《生态环境损害鉴定评估技术指南 总纲和关键环节 第 2 部分：损害调查》（GB/T 39791.2-2020）； 13.《土地利用现状分类》（GBT 21010-2017）； 14.《生态环境损害鉴定评估技术指南 总纲和关键环节 第4部分：土壤生态环境基线调查与确定》（GB_T 39791.4—2024）； 15.《地下水质量标准》（GB/T 14848-2017）； 16.《生态环境损害鉴定评估技术指南 总纲和关键环节 第 3 部分：恢复效果评估》（GB/T 39791.3-2024）； 17.《污染地块风险管控与土壤修复效果评估技术导则》（HJ 25.5-2018）； 18.《污染地块地下水修复和风险管控技术导则》（HJ 25.6-2019）； 19.《建设用地土壤污染风险管控和修复监测技术导则》（HJ 25.2-2019） 20.《建设用地土壤污染风险评估技术导则》（HJ 25.3-2019） 21.《建设用地土壤污染状况调查技术导则》（HJ 25.1-2019） 22.《农田土壤环境质量监测技术规范》（NY-T 395-2012） 23.《土壤环境监测技术规范》（HJ/T166-2004） 24.《工业企业场地环境调查评估与修复工作指南（试行）》（环境保护部，2014年11月） 25.国家其它现行的标准与规范。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项目完成后，经过甲方验收合格后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注：中标供应商中标后需提供纸质响应文件3份（一正两副）电子版1份，纸质响应文件需胶装，递交地址：陕西省西安市碑林区长安国际中心F座办公楼1702室。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（2）具有良好的商业信誉和健全的财务会计制度 提供2023或2024年度经审计的财务报告（包括四表一注，即资产负债表、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 /或表明具有良好的商业信誉和健全的财务会计制度的诚信声明； 以上四种形式的资料提供任何一种即可。 （3）具有履行合同所必需的设备和专业技术能力。 提供声明文件原件。 （4）具有依法缴纳税收的良好记录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/或具有依法缴纳税收的诚信声明； 以上二种形式的资料提供任何一种即可。 （5）社会保障资金缴纳证明： 提供缴费所属日期为响应文件递交截止时间前12个月内任一月份（开启时间当月不计入）的缴费凭据或社保机关出具的缴费证明/在法规范围内不需提供的应出具书面说明和证明文件； /或具有依法缴纳税收的诚信声明； 以上二种形式的资料提供任何一种即可。 （6）提供参加政府采购活动前三年内在经营活动中没有重大违法记录的书面声明（原件）；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提供2023或2024年度经审计的财务报告（包括四表一注，即资产负债表、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供应商须具备《司法鉴定许可证》（业务范围含土壤与地下水环境损害鉴定、生态系统环境损害鉴定）；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需提供非联合体投标声明函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签字、盖章有效，字迹是否清晰可辨，编写格式符合竞争性磋商文件要求；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分项报价表.docx 本项目拟投入人员汇总表.docx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供应商根据对本项目理解和实际情况，对工作内容、工作流程、质量要求等提出合理的、有建设性的建议本项满分10分。 1、项目工作方案思路清晰、准确、完整，计划编制合理、可行，完全满足采购要求，对关键节点的控制措施有力、合理、可行，得10分； 2、项目工作方案思路比较清晰、准确、完整，计划编制较为合理、可行，基本满足采购要求，对关键节点的控制措施较为合理、可行，得6分； 3、项目工作方案思路基本准确，计划编制基本合理，对关键节点的控制措施基本可行，得3分； 4、项目工作方案思路不准确，计划编制不合理，或对关键节点的控制措施不可行的得1分，不提供不得分。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阐述本项目存在的重点、难点，明确具体提出解决方案、措施及建议，本项满分10分。 1、对本次鉴定评估各项工作实施要点及难点的理解与把握准确，工作步骤及解决关键性问题的研究详尽的得10分； 2、对本次鉴定评估各项工作实施要点及难点的理解与把握比较准确，工作步骤及解决关键性问题的研究比较详尽的得6分； 3、对本次鉴定评估各项工作实施要点及难点的理解与把握基本准确，工作步骤及解决关键性问题的研究一般详尽的得3分； 4、对本次鉴定评估各项工作实施要点及难点的理解与把握不准确，工作步骤及解决关键性问题的研究不详尽的得1分，不提供不得分。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样品运输保存分析及时性</w:t>
            </w:r>
          </w:p>
        </w:tc>
        <w:tc>
          <w:tcPr>
            <w:tcW w:type="dxa" w:w="2492"/>
          </w:tcPr>
          <w:p>
            <w:pPr>
              <w:pStyle w:val="null3"/>
            </w:pPr>
            <w:r>
              <w:rPr>
                <w:rFonts w:ascii="仿宋_GB2312" w:hAnsi="仿宋_GB2312" w:cs="仿宋_GB2312" w:eastAsia="仿宋_GB2312"/>
              </w:rPr>
              <w:t>样品采集后应及时进入实验室进行分析，投标人需详细说明样品流转流程及保障措施。 流转流程及保障措施详细、合理、及时可行强的得10分； 流转流程及保障措施详细、较合理、较及时的得6分； 流转流程及保障措施基本合理、及时性一般的可行得3分； 流转流程及保障措施有内容，但不明确、及时性差的得1分，不提供不得分。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根据保证项目完成的进度计划、措施等方面评分，本项满分10分。 1、各项计划、措施体系完整、合理完善，可执行性强，得10分； 2、各项计划、措施体系比较完整、合理完善，可执行性比较强，得6分； 3、各项计划、措施体系基本完整、合理完善，可执行性一般，得3分； 4、各项计划、措施体系内容不够完整、合理完善、可执行性不强，得1分，不提供不得分。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供应商针对本项目制定现场监测人员安全措施的可靠性等进行评分： 1、现场采样人员购买有商业意外保险的得2分； 2、安全措施较全面、合理，切合实际，针对性较强得2分； 3、措施不够全面，不完全切合实际，针对性一般得1分，不提供不得分。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根据保证项目完成的质量目标措施等方面评分，本项满分5分。 1、各项措施体系完整、合理完善，可执行性强，得5分； 2、各项措施体系比较完整、合理完善，可执行性比较强，得2分； 3、各项措施体系基本完整、合理完善、可执行性不强，得1分，不提供不得分。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1、项目组成员 （1）项目组成员中每具有一名高级职称得2分，中级职称得1分，最高得4分； （2）设置针对本项目的工作小组，提供项目组人员组织配备图，提供人员岗位制度及标准。 ①以上内容人员配备齐全、专业、详细全面、制度合理规范，计3分； ②以上内容，只有框架无具体内容的，计1分； ③未提供的不计分。 本项最高累计得7分。 2、项目负责人 1）项目负责人具备高级职称且取得环境损害司法鉴定人执业资格得3分，其他不得分。 注：以上（2项）人员需提供人员证书扫描件、身份证、职称证资料作为评审依据，否则不计分。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①措施内容详细、全面、规范，计5分； ②针对措施内容，只有书面承诺，缺少具体措施办法，计3分；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①廉洁从业措施内容详细、全面、合理规范，可有效控制廉洁从业风险，计5分； ②廉洁从业措施内容，只有书面承诺，缺少具体实施办法，计3分；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针对本项目具有应急处理预案。 ①方案内容详细、全面、逻辑清晰，计5分； ②方案内容，只有书面承诺，缺少具体实施方法，计3分；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建议内容科学可行，有针对性且内容丰富，得3分； 建议内容较为可行，有一定的针对性，得2分； 建议内容基本可行，具有针对性，得1分； 无内容不得分。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1.具有良好的本地化服务能力的计1分； 2.拟投入售后服务人员配置情况，配有稳定的技术服务队伍，能提供及时快速的售后响应、质量保证范围得1分。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 2022年1 月 1日至今每提供一份生态系统环境损害鉴定类或土壤与地下水环境损害司法鉴定类项目业绩得2分，满分为10分，不得重复累计。 注：以合同签订时间为准，供应商应在竞争性磋商响应文件中提供业绩合同电子件或扫描件关键页。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满足磋商文件要求且磋商报价最低的为评审基准价，其价格分为满分。磋商报价得分=（评审基准价/磋商报价）×价格权值×100。 符合磋商文件规定的小微企业、监狱企业、残疾人福利企业等优惠条件的供应商，价格给予10%的扣除，用扣除后的价格参与评审。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