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版本号：0617-2512XZ189920250721001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紫外线灯改造项目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0617-2512XZ1899</w:t>
      </w:r>
      <w:r>
        <w:br/>
      </w:r>
      <w:r>
        <w:br/>
      </w:r>
      <w:r>
        <w:br/>
      </w:r>
    </w:p>
    <w:p>
      <w:pPr>
        <w:pStyle w:val="null3"/>
        <w:jc w:val="center"/>
        <w:outlineLvl w:val="2"/>
      </w:pPr>
      <w:r>
        <w:rPr>
          <w:rFonts w:ascii="仿宋_GB2312" w:hAnsi="仿宋_GB2312" w:cs="仿宋_GB2312" w:eastAsia="仿宋_GB2312"/>
          <w:sz w:val="28"/>
          <w:b/>
        </w:rPr>
        <w:t>西安市雁塔区第九小学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西安市雁塔区第九小学</w:t>
      </w:r>
      <w:r>
        <w:rPr>
          <w:rFonts w:ascii="仿宋_GB2312" w:hAnsi="仿宋_GB2312" w:cs="仿宋_GB2312" w:eastAsia="仿宋_GB2312"/>
        </w:rPr>
        <w:t>委托，拟对</w:t>
      </w:r>
      <w:r>
        <w:rPr>
          <w:rFonts w:ascii="仿宋_GB2312" w:hAnsi="仿宋_GB2312" w:cs="仿宋_GB2312" w:eastAsia="仿宋_GB2312"/>
        </w:rPr>
        <w:t>紫外线灯改造项目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0617-2512XZ1899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紫外线灯改造项目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紫外线灯改造项目必须按照上级部门消杀要求，满足学校日常使用，保质保量完成施工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采购包1（紫外线灯改造项目）：属于专门面向中小企业采购。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1、特定资格条件：施工人员需具备有效的《电工特种作业操作证》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西安市雁塔区第九小学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西安市雁塔区岳旗寨安置小区东侧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西安市雁塔区第九小学经办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18092789523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张越、张鑫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029-85235058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代理服务费收费标准：固定收费3000元整</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西安市雁塔区第九小学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西安市雁塔区第九小学</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西安市雁塔区第九小学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按采购文件、响应文件及合同相关条款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100000</w:t>
            </w:r>
          </w:p>
        </w:tc>
        <w:tc>
          <w:tcPr>
            <w:tcW w:type="dxa" w:w="1384"/>
          </w:tcPr>
          <w:p>
            <w:pPr>
              <w:pStyle w:val="null3"/>
              <w:jc w:val="right"/>
            </w:pPr>
            <w:r>
              <w:rPr>
                <w:rFonts w:ascii="仿宋_GB2312" w:hAnsi="仿宋_GB2312" w:cs="仿宋_GB2312" w:eastAsia="仿宋_GB2312"/>
              </w:rPr>
              <w:t>248.00</w:t>
            </w:r>
          </w:p>
        </w:tc>
        <w:tc>
          <w:tcPr>
            <w:tcW w:type="dxa" w:w="1384"/>
          </w:tcPr>
          <w:p>
            <w:pPr>
              <w:pStyle w:val="null3"/>
              <w:jc w:val="right"/>
            </w:pPr>
            <w:r>
              <w:rPr>
                <w:rFonts w:ascii="仿宋_GB2312" w:hAnsi="仿宋_GB2312" w:cs="仿宋_GB2312" w:eastAsia="仿宋_GB2312"/>
              </w:rPr>
              <w:t>100,000.00</w:t>
            </w:r>
          </w:p>
        </w:tc>
        <w:tc>
          <w:tcPr>
            <w:tcW w:type="dxa" w:w="1384"/>
          </w:tcPr>
          <w:p>
            <w:pPr>
              <w:pStyle w:val="null3"/>
            </w:pPr>
            <w:r>
              <w:rPr>
                <w:rFonts w:ascii="仿宋_GB2312" w:hAnsi="仿宋_GB2312" w:cs="仿宋_GB2312" w:eastAsia="仿宋_GB2312"/>
              </w:rPr>
              <w:t>套</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项目概况</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、采购项目编号：</w:t>
            </w:r>
            <w:r>
              <w:rPr>
                <w:rFonts w:ascii="仿宋_GB2312" w:hAnsi="仿宋_GB2312" w:cs="仿宋_GB2312" w:eastAsia="仿宋_GB2312"/>
                <w:sz w:val="21"/>
              </w:rPr>
              <w:t>0617-</w:t>
            </w:r>
            <w:r>
              <w:rPr>
                <w:rFonts w:ascii="仿宋_GB2312" w:hAnsi="仿宋_GB2312" w:cs="仿宋_GB2312" w:eastAsia="仿宋_GB2312"/>
                <w:sz w:val="21"/>
              </w:rPr>
              <w:t>2512XZ1899</w:t>
            </w:r>
          </w:p>
          <w:p>
            <w:pPr>
              <w:pStyle w:val="null3"/>
              <w:jc w:val="both"/>
            </w:pPr>
            <w:r>
              <w:rPr>
                <w:rFonts w:ascii="仿宋_GB2312" w:hAnsi="仿宋_GB2312" w:cs="仿宋_GB2312" w:eastAsia="仿宋_GB2312"/>
                <w:sz w:val="21"/>
              </w:rPr>
              <w:t>2、采购项</w:t>
            </w:r>
            <w:r>
              <w:rPr>
                <w:rFonts w:ascii="仿宋_GB2312" w:hAnsi="仿宋_GB2312" w:cs="仿宋_GB2312" w:eastAsia="仿宋_GB2312"/>
                <w:sz w:val="21"/>
              </w:rPr>
              <w:t>目名称：紫外线灯改造项目</w:t>
            </w:r>
          </w:p>
          <w:p>
            <w:pPr>
              <w:pStyle w:val="null3"/>
              <w:jc w:val="both"/>
            </w:pPr>
            <w:r>
              <w:rPr>
                <w:rFonts w:ascii="仿宋_GB2312" w:hAnsi="仿宋_GB2312" w:cs="仿宋_GB2312" w:eastAsia="仿宋_GB2312"/>
                <w:sz w:val="21"/>
              </w:rPr>
              <w:t>3、采购需求：紫外线灯改造项目必须按照上级部门消杀要求，满足学校日常使用，保质保量完成施工。</w:t>
            </w:r>
          </w:p>
          <w:p>
            <w:pPr>
              <w:pStyle w:val="null3"/>
              <w:jc w:val="left"/>
            </w:pPr>
            <w:r>
              <w:rPr>
                <w:rFonts w:ascii="仿宋_GB2312" w:hAnsi="仿宋_GB2312" w:cs="仿宋_GB2312" w:eastAsia="仿宋_GB2312"/>
                <w:sz w:val="21"/>
                <w:b/>
              </w:rPr>
              <w:t>二、采购内容及技术规格：</w:t>
            </w:r>
          </w:p>
          <w:p>
            <w:pPr>
              <w:pStyle w:val="null3"/>
              <w:ind w:firstLine="420"/>
              <w:jc w:val="both"/>
            </w:pPr>
            <w:r>
              <w:rPr>
                <w:rFonts w:ascii="仿宋_GB2312" w:hAnsi="仿宋_GB2312" w:cs="仿宋_GB2312" w:eastAsia="仿宋_GB2312"/>
                <w:sz w:val="21"/>
              </w:rPr>
              <w:t>采购内容：为提升校园卫生安全水平，有效预防疾病传播，为师生营造更健康的学习和工作环境，应上级部门要求学校计划对现有紫外线消毒系统进行升级改造，以强化教室公共区域的消毒杀菌能力。</w:t>
            </w:r>
          </w:p>
          <w:p>
            <w:pPr>
              <w:pStyle w:val="null3"/>
              <w:ind w:firstLine="420"/>
              <w:jc w:val="both"/>
            </w:pPr>
            <w:r>
              <w:rPr>
                <w:rFonts w:ascii="仿宋_GB2312" w:hAnsi="仿宋_GB2312" w:cs="仿宋_GB2312" w:eastAsia="仿宋_GB2312"/>
                <w:sz w:val="21"/>
              </w:rPr>
              <w:t>要求采购的紫外线灯必须具有国家权威机构出具的质量检测报告，符合相关国家标准和行业规范。要求供应商提供产品质量保证承诺，明确质保期限和售后服务内容。在质保期内，如出现产品质量问题，供应商应免费维修或更换。加强对安装过程的质量监督，要求安装人员严格按照设计方案和施工规范进行操作，确保安装质量。安装完成后，进行严格的调试和检测，确保系统运行稳定。</w:t>
            </w:r>
          </w:p>
          <w:p>
            <w:pPr>
              <w:pStyle w:val="null3"/>
              <w:ind w:firstLine="420"/>
              <w:jc w:val="both"/>
            </w:pPr>
            <w:r>
              <w:rPr>
                <w:rFonts w:ascii="仿宋_GB2312" w:hAnsi="仿宋_GB2312" w:cs="仿宋_GB2312" w:eastAsia="仿宋_GB2312"/>
                <w:sz w:val="21"/>
              </w:rPr>
              <w:t>通过本次紫外线灯改造采购项目的实施，学校将进一步提升校园卫生安全水平，为师生创造一个更加健康、舒适的学习和工作环境。</w:t>
            </w:r>
          </w:p>
          <w:p>
            <w:pPr>
              <w:pStyle w:val="null3"/>
              <w:jc w:val="center"/>
            </w:pPr>
            <w:r>
              <w:rPr>
                <w:rFonts w:ascii="仿宋_GB2312" w:hAnsi="仿宋_GB2312" w:cs="仿宋_GB2312" w:eastAsia="仿宋_GB2312"/>
                <w:sz w:val="21"/>
              </w:rPr>
              <w:t>采购人推荐品牌设备、材料品牌表</w:t>
            </w:r>
          </w:p>
          <w:tbl>
            <w:tblPr>
              <w:tblBorders>
                <w:top w:val="none" w:color="000000" w:sz="4"/>
                <w:left w:val="none" w:color="000000" w:sz="4"/>
                <w:bottom w:val="none" w:color="000000" w:sz="4"/>
                <w:right w:val="none" w:color="000000" w:sz="4"/>
                <w:insideH w:val="none"/>
                <w:insideV w:val="none"/>
              </w:tblBorders>
            </w:tblPr>
            <w:tblGrid>
              <w:gridCol w:w="476"/>
              <w:gridCol w:w="952"/>
              <w:gridCol w:w="1009"/>
              <w:gridCol w:w="743"/>
            </w:tblGrid>
            <w:tr>
              <w:tc>
                <w:tcPr>
                  <w:tcW w:type="dxa" w:w="476"/>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95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材料、设备名称</w:t>
                  </w:r>
                </w:p>
              </w:tc>
              <w:tc>
                <w:tcPr>
                  <w:tcW w:type="dxa" w:w="1009"/>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推荐品牌</w:t>
                  </w:r>
                </w:p>
              </w:tc>
              <w:tc>
                <w:tcPr>
                  <w:tcW w:type="dxa" w:w="743"/>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w:t>
                  </w:r>
                  <w:r>
                    <w:rPr>
                      <w:rFonts w:ascii="仿宋_GB2312" w:hAnsi="仿宋_GB2312" w:cs="仿宋_GB2312" w:eastAsia="仿宋_GB2312"/>
                      <w:sz w:val="21"/>
                      <w:b/>
                    </w:rPr>
                    <w:t xml:space="preserve">  </w:t>
                  </w:r>
                  <w:r>
                    <w:rPr>
                      <w:rFonts w:ascii="仿宋_GB2312" w:hAnsi="仿宋_GB2312" w:cs="仿宋_GB2312" w:eastAsia="仿宋_GB2312"/>
                      <w:sz w:val="21"/>
                      <w:b/>
                    </w:rPr>
                    <w:t>注</w:t>
                  </w:r>
                </w:p>
              </w:tc>
            </w:tr>
            <w:tr>
              <w:tc>
                <w:tcPr>
                  <w:tcW w:type="dxa" w:w="47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石英紫外线杀菌灯</w:t>
                  </w:r>
                </w:p>
              </w:tc>
              <w:tc>
                <w:tcPr>
                  <w:tcW w:type="dxa" w:w="10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佛山牌、飞利浦、尚吉光</w:t>
                  </w:r>
                </w:p>
              </w:tc>
              <w:tc>
                <w:tcPr>
                  <w:tcW w:type="dxa" w:w="743"/>
                  <w:vMerge w:val="restart"/>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ind w:left="-30"/>
                    <w:jc w:val="both"/>
                  </w:pPr>
                  <w:r>
                    <w:rPr>
                      <w:rFonts w:ascii="仿宋_GB2312" w:hAnsi="仿宋_GB2312" w:cs="仿宋_GB2312" w:eastAsia="仿宋_GB2312"/>
                      <w:sz w:val="21"/>
                      <w:b/>
                    </w:rPr>
                    <w:t>供应商按推荐的品牌或相当于推荐品牌品质档次的设备、材料进行报价</w:t>
                  </w:r>
                </w:p>
              </w:tc>
            </w:tr>
            <w:tr>
              <w:tc>
                <w:tcPr>
                  <w:tcW w:type="dxa" w:w="47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导线</w:t>
                  </w:r>
                </w:p>
              </w:tc>
              <w:tc>
                <w:tcPr>
                  <w:tcW w:type="dxa" w:w="10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众邦、津达、津成</w:t>
                  </w:r>
                </w:p>
              </w:tc>
              <w:tc>
                <w:tcPr>
                  <w:tcW w:type="dxa" w:w="743"/>
                  <w:vMerge/>
                  <w:tcBorders>
                    <w:top w:val="single" w:color="000000" w:sz="4"/>
                    <w:left w:val="single" w:color="000000" w:sz="4"/>
                    <w:bottom w:val="single" w:color="000000" w:sz="4"/>
                    <w:right w:val="single" w:color="000000" w:sz="8"/>
                  </w:tcBorders>
                </w:tcPr>
                <w:p/>
              </w:tc>
            </w:tr>
            <w:tr>
              <w:tc>
                <w:tcPr>
                  <w:tcW w:type="dxa" w:w="47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定时器</w:t>
                  </w:r>
                </w:p>
              </w:tc>
              <w:tc>
                <w:tcPr>
                  <w:tcW w:type="dxa" w:w="10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正泰、德力西、施耐德</w:t>
                  </w:r>
                </w:p>
              </w:tc>
              <w:tc>
                <w:tcPr>
                  <w:tcW w:type="dxa" w:w="743"/>
                  <w:vMerge/>
                  <w:tcBorders>
                    <w:top w:val="single" w:color="000000" w:sz="4"/>
                    <w:left w:val="single" w:color="000000" w:sz="4"/>
                    <w:bottom w:val="single" w:color="000000" w:sz="4"/>
                    <w:right w:val="single" w:color="000000" w:sz="8"/>
                  </w:tcBorders>
                </w:tcPr>
                <w:p/>
              </w:tc>
            </w:tr>
            <w:tr>
              <w:tc>
                <w:tcPr>
                  <w:tcW w:type="dxa" w:w="476"/>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95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交流接触器</w:t>
                  </w:r>
                </w:p>
              </w:tc>
              <w:tc>
                <w:tcPr>
                  <w:tcW w:type="dxa" w:w="1009"/>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正泰、德力西、施耐德</w:t>
                  </w:r>
                </w:p>
              </w:tc>
              <w:tc>
                <w:tcPr>
                  <w:tcW w:type="dxa" w:w="743"/>
                  <w:vMerge/>
                  <w:tcBorders>
                    <w:top w:val="single" w:color="000000" w:sz="4"/>
                    <w:left w:val="single" w:color="000000" w:sz="4"/>
                    <w:bottom w:val="single" w:color="000000" w:sz="4"/>
                    <w:right w:val="single" w:color="000000" w:sz="8"/>
                  </w:tcBorders>
                </w:tcPr>
                <w:p/>
              </w:tc>
            </w:tr>
          </w:tbl>
          <w:p>
            <w:pPr>
              <w:pStyle w:val="null3"/>
              <w:jc w:val="both"/>
            </w:pPr>
            <w:r>
              <w:rPr>
                <w:rFonts w:ascii="仿宋_GB2312" w:hAnsi="仿宋_GB2312" w:cs="仿宋_GB2312" w:eastAsia="仿宋_GB2312"/>
                <w:sz w:val="21"/>
                <w:b/>
              </w:rPr>
              <w:t>三、商务要求</w:t>
            </w:r>
          </w:p>
          <w:p>
            <w:pPr>
              <w:pStyle w:val="null3"/>
              <w:ind w:firstLine="420"/>
              <w:jc w:val="both"/>
            </w:pPr>
            <w:r>
              <w:rPr>
                <w:rFonts w:ascii="仿宋_GB2312" w:hAnsi="仿宋_GB2312" w:cs="仿宋_GB2312" w:eastAsia="仿宋_GB2312"/>
                <w:sz w:val="21"/>
              </w:rPr>
              <w:t>★3.1工程地点：</w:t>
            </w:r>
            <w:r>
              <w:rPr>
                <w:rFonts w:ascii="仿宋_GB2312" w:hAnsi="仿宋_GB2312" w:cs="仿宋_GB2312" w:eastAsia="仿宋_GB2312"/>
                <w:sz w:val="21"/>
              </w:rPr>
              <w:t>雁塔区岳旗寨安置小区东侧西安市雁塔区第九小学校区指定地点</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★3.2工期：自签订合同起</w:t>
            </w:r>
            <w:r>
              <w:rPr>
                <w:rFonts w:ascii="仿宋_GB2312" w:hAnsi="仿宋_GB2312" w:cs="仿宋_GB2312" w:eastAsia="仿宋_GB2312"/>
                <w:sz w:val="21"/>
                <w:u w:val="single"/>
              </w:rPr>
              <w:t xml:space="preserve"> 15 </w:t>
            </w:r>
            <w:r>
              <w:rPr>
                <w:rFonts w:ascii="仿宋_GB2312" w:hAnsi="仿宋_GB2312" w:cs="仿宋_GB2312" w:eastAsia="仿宋_GB2312"/>
                <w:sz w:val="21"/>
              </w:rPr>
              <w:t>日历日</w:t>
            </w:r>
          </w:p>
          <w:p>
            <w:pPr>
              <w:pStyle w:val="null3"/>
              <w:ind w:firstLine="420"/>
              <w:jc w:val="both"/>
            </w:pPr>
            <w:r>
              <w:rPr>
                <w:rFonts w:ascii="仿宋_GB2312" w:hAnsi="仿宋_GB2312" w:cs="仿宋_GB2312" w:eastAsia="仿宋_GB2312"/>
                <w:sz w:val="21"/>
              </w:rPr>
              <w:t>★3.3质量标准：达到国家现行行业施工验收规范“合格”标准</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4</w:t>
            </w:r>
            <w:r>
              <w:rPr>
                <w:rFonts w:ascii="仿宋_GB2312" w:hAnsi="仿宋_GB2312" w:cs="仿宋_GB2312" w:eastAsia="仿宋_GB2312"/>
                <w:sz w:val="21"/>
              </w:rPr>
              <w:t>合同款支付方式约定：见第三章《合同格式》第四条</w:t>
            </w:r>
            <w:r>
              <w:rPr>
                <w:rFonts w:ascii="仿宋_GB2312" w:hAnsi="仿宋_GB2312" w:cs="仿宋_GB2312" w:eastAsia="仿宋_GB2312"/>
                <w:sz w:val="21"/>
              </w:rPr>
              <w:t>“价款的结算”规定方式。</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 提供注册登记凭证（营业执照、其他组织经营的合法凭证，自然人的提供身份证明文件）。 （二）具有良好的商业信誉和健全的财务会计制度。 提供经审计的2023年度财务报告（包括四表一注，即资产负债表、利润表、现金流量表、所有者权益变动表及其附注），且无反对意见；事业法人提供部门决算报告； /或在磋商日期前六个月内其基本开户银行出具的资信证明（附《基本存款账户信息》或《银行开户许可证》复印件）； /或财政部门认可的政府采购专业担保机构出具的磋商担保函； /或表明具有良好的商业信誉和健全的财务会计制度的诚信声明； 以上四种形式的资料提供任何一种即可。 （三）具有履行合同所必需的设备和专业技术能力。 提供声明文件原件。 （四）具有依法缴纳税收的良好记录。 提供缴费所属日期为磋商截止时间前6个月内任一月份（磋商文件响应文件提交截止时间当月不计入）的增值税（或所得税）缴费凭据或税务机关出具的完税证明/在法规范围内不需提供的应出具书面说明和证明文件； /或具有依法缴纳税收的诚信声明； 以上二种形式的资料提供任何一种即可。 （五）具有依法缴纳社会保障资金的良好记录。 提供缴费所属日期为磋商截止时间前6个月内任一月份（磋商文件响应文件提交截止时间当月不计入）的缴费凭据或社保机关出具的缴费证明/在法规范围内不需提供的应出具书面说明和证明文件； /或具有依法缴纳社会保障资金的缴纳记录的诚信声明； 以上二种形式的资料提供任何一种即可。 （六）参加政府采购活动前3年内在经营活动中没有重大违法记录的书面声明（原件）。 （七）法人代表授权书（原件）及被授权人递交文件截止时间前6个月内任一月份的社保缴纳证明。 （八）中小企业声明函（原件）（注：若供应商为残疾人福利性单位的，提供《残疾人福利性单位声明函》原件；若供应商为监狱企业的，提供由省级以上监狱管理局、戒毒管理局（含新疆生产建设兵团）出具的属于监狱企业的证明文件）。</w:t>
            </w:r>
          </w:p>
        </w:tc>
        <w:tc>
          <w:tcPr>
            <w:tcW w:type="dxa" w:w="1661"/>
          </w:tcPr>
          <w:p>
            <w:pPr>
              <w:pStyle w:val="null3"/>
            </w:pPr>
            <w:r>
              <w:rPr>
                <w:rFonts w:ascii="仿宋_GB2312" w:hAnsi="仿宋_GB2312" w:cs="仿宋_GB2312" w:eastAsia="仿宋_GB2312"/>
              </w:rPr>
              <w:t>法人代表授权书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财务报告（包括四表一注，即资产负债表、利润表、现金流量表、所有者权益变动表及其附注），且无反对意见；事业法人提供部门决算报告；/或在磋商日期前六个月内其基本开户银行出具的资信证明（附《基本存款账户信息》或《银行开户许可证》复印件）；/或财政部门认可的政府采购专业担保机构出具的磋商担保函；/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施工人员需具备有效的《电工特种作业操作证》</w:t>
            </w:r>
          </w:p>
        </w:tc>
        <w:tc>
          <w:tcPr>
            <w:tcW w:type="dxa" w:w="1661"/>
          </w:tcPr>
          <w:p>
            <w:pPr>
              <w:pStyle w:val="null3"/>
            </w:pPr>
            <w:r>
              <w:rPr>
                <w:rFonts w:ascii="仿宋_GB2312" w:hAnsi="仿宋_GB2312" w:cs="仿宋_GB2312" w:eastAsia="仿宋_GB2312"/>
              </w:rPr>
              <w:t>项目管理机构组成表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磋商响应文件是否按照磋商文件要求的格式编写；磋商报价内容是否有重大缺漏项。</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磋商响应文件的签署、加盖印章是否有效；提供的各种证明文件、数据、资料是否有效。</w:t>
            </w:r>
          </w:p>
        </w:tc>
        <w:tc>
          <w:tcPr>
            <w:tcW w:type="dxa" w:w="1661"/>
          </w:tcPr>
          <w:p>
            <w:pPr>
              <w:pStyle w:val="null3"/>
            </w:pPr>
            <w:r>
              <w:rPr>
                <w:rFonts w:ascii="仿宋_GB2312" w:hAnsi="仿宋_GB2312" w:cs="仿宋_GB2312" w:eastAsia="仿宋_GB2312"/>
              </w:rPr>
              <w:t>响应文件封面 法人代表授权书 已标价工程量清单 中小企业声明函 残疾人福利性单位声明函 报价函 技术服务合同条款及其他商务要求应答表 标的清单 响应函 监狱企业的证明文件 主要材料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磋商报价是否超过采购预算或最高限价；磋商报价有效期是否符合磋商文件的要求；响应文件内容是否符合国家法律法规，没有重大偏离；对磋商文件中规定的要求是否做出了实质性响应</w:t>
            </w:r>
          </w:p>
        </w:tc>
        <w:tc>
          <w:tcPr>
            <w:tcW w:type="dxa" w:w="1661"/>
          </w:tcPr>
          <w:p>
            <w:pPr>
              <w:pStyle w:val="null3"/>
            </w:pPr>
            <w:r>
              <w:rPr>
                <w:rFonts w:ascii="仿宋_GB2312" w:hAnsi="仿宋_GB2312" w:cs="仿宋_GB2312" w:eastAsia="仿宋_GB2312"/>
              </w:rPr>
              <w:t>已标价工程量清单 报价函 技术服务合同条款及其他商务要求应答表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对本项目的分析、理解</w:t>
            </w:r>
          </w:p>
        </w:tc>
        <w:tc>
          <w:tcPr>
            <w:tcW w:type="dxa" w:w="2492"/>
          </w:tcPr>
          <w:p>
            <w:pPr>
              <w:pStyle w:val="null3"/>
            </w:pPr>
            <w:r>
              <w:rPr>
                <w:rFonts w:ascii="仿宋_GB2312" w:hAnsi="仿宋_GB2312" w:cs="仿宋_GB2312" w:eastAsia="仿宋_GB2312"/>
              </w:rPr>
              <w:t>结合项目现状与需求，对项目背景、现实情况、面临问题、实现功能进行系统分析，结合自身施工经验具体阐述对项目的理解、项目实施的要点和实施路径。 项目理解透彻，分析合理，阐述详细且条理清晰，得(6,8]分； 项目理解较为透彻，分析较为合理，阐述详细，得(4,6]分； 项目理解、分析和阐述等均较为简单，适用性一般，得[2,4]分。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施工技术方案</w:t>
            </w:r>
          </w:p>
        </w:tc>
        <w:tc>
          <w:tcPr>
            <w:tcW w:type="dxa" w:w="2492"/>
          </w:tcPr>
          <w:p>
            <w:pPr>
              <w:pStyle w:val="null3"/>
            </w:pPr>
            <w:r>
              <w:rPr>
                <w:rFonts w:ascii="仿宋_GB2312" w:hAnsi="仿宋_GB2312" w:cs="仿宋_GB2312" w:eastAsia="仿宋_GB2312"/>
              </w:rPr>
              <w:t>根据项目特点编制符合实际的施工技术方案，对重点部位、关键节点有针对性考虑并符合相关规范及行业标准。 施工方案编制思路清晰、详细、具体、科学可行的得(12,14]分； 施工方案编制思路较清晰，基本能保证项目实施的得(10,12]分； 施工方案编制思路含糊，无法保证项目实施的得[8,10]分。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根据本项目实际，制定明确、具体、切合实际的质量保证措施。 质量目标明确，管理体系健全，质量管理组织体系、措施完善，质量管理措施科学、合理的得(6,8]分； 质量目标较明确，体系较健全，保障措施较合理的得(4,6]分； 质量目标不太明确，保障措施不太合理的得[2,4]分。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工期计划及确保工期的技术组织措施</w:t>
            </w:r>
          </w:p>
        </w:tc>
        <w:tc>
          <w:tcPr>
            <w:tcW w:type="dxa" w:w="2492"/>
          </w:tcPr>
          <w:p>
            <w:pPr>
              <w:pStyle w:val="null3"/>
            </w:pPr>
            <w:r>
              <w:rPr>
                <w:rFonts w:ascii="仿宋_GB2312" w:hAnsi="仿宋_GB2312" w:cs="仿宋_GB2312" w:eastAsia="仿宋_GB2312"/>
              </w:rPr>
              <w:t>根据本项目工期要求，制定满足进度要求的工期计划及技术组织措施。 总工期满足要求，有合理压缩节点工期分析，组织措施科学、合理，有补救延误工期的措施的得(6,8]分； 总工期满足要求，工期组织措施较为科学、合理的得(4,6]分； 总工期满足要求，工期组织措施不太合理的得[2,4]分。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确保安全文明施工的技术组织措施及环境保护措施</w:t>
            </w:r>
          </w:p>
        </w:tc>
        <w:tc>
          <w:tcPr>
            <w:tcW w:type="dxa" w:w="2492"/>
          </w:tcPr>
          <w:p>
            <w:pPr>
              <w:pStyle w:val="null3"/>
            </w:pPr>
            <w:r>
              <w:rPr>
                <w:rFonts w:ascii="仿宋_GB2312" w:hAnsi="仿宋_GB2312" w:cs="仿宋_GB2312" w:eastAsia="仿宋_GB2312"/>
              </w:rPr>
              <w:t>根据项目情况制定安全文明施工的技术组织措施及环境保护措施。 安全目标明确，安全体系健全，文明施工及环境保护措施具体、科学、合理得(6,8]分； 安全目标较明确，安全体系较健全，文明施工及环境保护措施较为科学、合理的得(4,6]分； 有安全目标、安全体系，文明施工及环境保护措施不太合理的得[2,4]分。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主要机械设备和材料投入计划</w:t>
            </w:r>
          </w:p>
        </w:tc>
        <w:tc>
          <w:tcPr>
            <w:tcW w:type="dxa" w:w="2492"/>
          </w:tcPr>
          <w:p>
            <w:pPr>
              <w:pStyle w:val="null3"/>
            </w:pPr>
            <w:r>
              <w:rPr>
                <w:rFonts w:ascii="仿宋_GB2312" w:hAnsi="仿宋_GB2312" w:cs="仿宋_GB2312" w:eastAsia="仿宋_GB2312"/>
              </w:rPr>
              <w:t>根据项目情况编制拟投入的主要机械设备和材料投入计划。 机械设备与材料投入合理、配备完善有详尽的计划于措施得(6,8]分； 施工机械配备和材料投入计划较为合理、完善得(4,6]分； 施工机械配备和材料投入计划明显不合理得[2,4]分。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主要材料</w:t>
            </w:r>
          </w:p>
          <w:p>
            <w:pPr>
              <w:pStyle w:val="null3"/>
            </w:pPr>
            <w:r>
              <w:rPr>
                <w:rFonts w:ascii="仿宋_GB2312" w:hAnsi="仿宋_GB2312" w:cs="仿宋_GB2312" w:eastAsia="仿宋_GB2312"/>
              </w:rPr>
              <w:t>技术响应方案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拟投入主要技术、管理人员情况</w:t>
            </w:r>
          </w:p>
        </w:tc>
        <w:tc>
          <w:tcPr>
            <w:tcW w:type="dxa" w:w="2492"/>
          </w:tcPr>
          <w:p>
            <w:pPr>
              <w:pStyle w:val="null3"/>
            </w:pPr>
            <w:r>
              <w:rPr>
                <w:rFonts w:ascii="仿宋_GB2312" w:hAnsi="仿宋_GB2312" w:cs="仿宋_GB2312" w:eastAsia="仿宋_GB2312"/>
              </w:rPr>
              <w:t>根据拟投入项目人员学历、专业、经验情况自主赋分。人员配备齐全，专业分工合理、经验丰富，针对性强的得(6,8]分； 人员配备一般、专业分工相对合理、经验丰富，针对性较强的得[4,6]分； 人员配备不足、专业分工相对合理、经验不足的得[2,4]分。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提供2021年1月1日至今（以合同签订时间为准）类似项目业绩（建筑工程施工，或建筑装饰装修施工，或装修改造施工等），每提供1个计2分，最多计4分。 备注：须提供业绩合同(关键内容页)并加盖供应商公章，否则不得分。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针对本项目实施提供合理化建议，根据建议的合理性、可行性进行赋分。 建议具体、合理且可行性高，完全满足项目要求得(4,6]分； 建议较合理、较具体、可行性较高，基本满足项目要求得(2,4]分； 建议不合理、可行较差，得[0,2]分。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履约能力及服务承诺</w:t>
            </w:r>
          </w:p>
        </w:tc>
        <w:tc>
          <w:tcPr>
            <w:tcW w:type="dxa" w:w="2492"/>
          </w:tcPr>
          <w:p>
            <w:pPr>
              <w:pStyle w:val="null3"/>
            </w:pPr>
            <w:r>
              <w:rPr>
                <w:rFonts w:ascii="仿宋_GB2312" w:hAnsi="仿宋_GB2312" w:cs="仿宋_GB2312" w:eastAsia="仿宋_GB2312"/>
              </w:rPr>
              <w:t>根据对采购人的履约能力及服务承诺进行计分。 供应商承诺接受采购人的考核、监督及管理，确保工作的优质高效，针对本项目提供合理、可行的服务承诺，得(4,6]分； 有相应的履约能力及服务承诺，服务承诺基本可行、合理，得(2,4]分； 服务承诺不全面、不可行、不合理，得[0,2]分。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本项目拟投入的材料、产品等属于最新“节能产品政府采购品目清单”或“环境标志产品政府采购品目清单”且证书在有效期内的，每有一个产品条目加 1 分；所投产品同时属于最新 “节能”或“环保”两个品目清单中的，每有一个产品条目加 1.0 分，最高不超过 2 分。 注：提供国家确定的认证机构出具的、处于有效期之内的节能产品、环境标志产品认证证书复印件加盖供应商公章。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1.满足采购文件要求且价格最低的报价为评审基准价，其价格分为满分。 2.其他供应商的价格分统一按照（评审基准价/评审价×20）的公式计算价格得分。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详见附件：法人代表授权书</w:t>
      </w:r>
    </w:p>
    <w:p>
      <w:pPr>
        <w:pStyle w:val="null3"/>
        <w:ind w:firstLine="960"/>
      </w:pPr>
      <w:r>
        <w:rPr>
          <w:rFonts w:ascii="仿宋_GB2312" w:hAnsi="仿宋_GB2312" w:cs="仿宋_GB2312" w:eastAsia="仿宋_GB2312"/>
        </w:rPr>
        <w:t>详见附件：主要材料</w:t>
      </w:r>
    </w:p>
    <w:p>
      <w:pPr>
        <w:pStyle w:val="null3"/>
        <w:ind w:firstLine="960"/>
      </w:pPr>
      <w:r>
        <w:rPr>
          <w:rFonts w:ascii="仿宋_GB2312" w:hAnsi="仿宋_GB2312" w:cs="仿宋_GB2312" w:eastAsia="仿宋_GB2312"/>
        </w:rPr>
        <w:t>详见附件：技术响应方案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