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4C9B9F">
      <w:pPr>
        <w:spacing w:line="360" w:lineRule="auto"/>
        <w:jc w:val="center"/>
        <w:rPr>
          <w:rFonts w:ascii="宋体" w:hAnsi="宋体" w:eastAsia="宋体"/>
          <w:b/>
          <w:sz w:val="36"/>
          <w:szCs w:val="36"/>
        </w:rPr>
      </w:pPr>
      <w:r>
        <w:rPr>
          <w:rFonts w:ascii="宋体" w:hAnsi="宋体" w:eastAsia="宋体"/>
          <w:b/>
          <w:sz w:val="36"/>
          <w:szCs w:val="36"/>
        </w:rPr>
        <w:t>拟签订采购合同文本</w:t>
      </w:r>
    </w:p>
    <w:p w14:paraId="381D57D3">
      <w:pPr>
        <w:spacing w:before="312" w:beforeLines="100" w:line="360" w:lineRule="auto"/>
        <w:jc w:val="left"/>
        <w:rPr>
          <w:rFonts w:ascii="宋体" w:hAnsi="宋体"/>
          <w:bCs/>
          <w:szCs w:val="21"/>
        </w:rPr>
      </w:pPr>
      <w:r>
        <w:rPr>
          <w:rFonts w:ascii="宋体" w:hAnsi="宋体"/>
          <w:bCs/>
          <w:szCs w:val="21"/>
        </w:rPr>
        <w:t>（GF—201</w:t>
      </w:r>
      <w:r>
        <w:rPr>
          <w:rFonts w:hint="eastAsia" w:ascii="宋体" w:hAnsi="宋体"/>
          <w:bCs/>
          <w:szCs w:val="21"/>
        </w:rPr>
        <w:t>7</w:t>
      </w:r>
      <w:r>
        <w:rPr>
          <w:rFonts w:ascii="宋体" w:hAnsi="宋体"/>
          <w:bCs/>
          <w:szCs w:val="21"/>
        </w:rPr>
        <w:t>—</w:t>
      </w:r>
      <w:r>
        <w:rPr>
          <w:rFonts w:hint="eastAsia" w:ascii="宋体" w:hAnsi="宋体"/>
          <w:bCs/>
          <w:szCs w:val="21"/>
        </w:rPr>
        <w:t>0201）</w:t>
      </w:r>
    </w:p>
    <w:p w14:paraId="7415BF67">
      <w:pPr>
        <w:jc w:val="center"/>
        <w:rPr>
          <w:rFonts w:ascii="宋体" w:hAnsi="宋体"/>
          <w:b/>
          <w:szCs w:val="21"/>
        </w:rPr>
      </w:pPr>
    </w:p>
    <w:p w14:paraId="3E77A794">
      <w:pPr>
        <w:jc w:val="center"/>
        <w:rPr>
          <w:rFonts w:ascii="宋体" w:hAnsi="宋体"/>
          <w:b/>
          <w:szCs w:val="21"/>
        </w:rPr>
      </w:pPr>
    </w:p>
    <w:p w14:paraId="5510DE9A">
      <w:pPr>
        <w:jc w:val="center"/>
        <w:rPr>
          <w:rFonts w:ascii="宋体" w:hAnsi="宋体"/>
          <w:b/>
          <w:szCs w:val="21"/>
        </w:rPr>
      </w:pPr>
    </w:p>
    <w:p w14:paraId="5BF83B77">
      <w:pPr>
        <w:jc w:val="center"/>
        <w:rPr>
          <w:rFonts w:ascii="宋体" w:hAnsi="宋体"/>
          <w:b/>
          <w:szCs w:val="21"/>
        </w:rPr>
      </w:pPr>
    </w:p>
    <w:p w14:paraId="1301E50B">
      <w:pPr>
        <w:pStyle w:val="5"/>
        <w:ind w:firstLine="210"/>
      </w:pPr>
    </w:p>
    <w:p w14:paraId="18979E2E">
      <w:pPr>
        <w:pStyle w:val="5"/>
        <w:ind w:firstLine="210"/>
      </w:pPr>
    </w:p>
    <w:p w14:paraId="38EC5A64">
      <w:pPr>
        <w:pStyle w:val="5"/>
        <w:ind w:firstLine="210"/>
      </w:pPr>
    </w:p>
    <w:p w14:paraId="1B42F02A">
      <w:pPr>
        <w:pStyle w:val="5"/>
        <w:ind w:firstLine="0" w:firstLineChars="0"/>
      </w:pPr>
    </w:p>
    <w:p w14:paraId="11D08BA3">
      <w:pPr>
        <w:pStyle w:val="5"/>
        <w:ind w:firstLine="210"/>
      </w:pPr>
    </w:p>
    <w:p w14:paraId="2E5F1106">
      <w:pPr>
        <w:spacing w:line="360" w:lineRule="auto"/>
        <w:jc w:val="center"/>
        <w:rPr>
          <w:rFonts w:ascii="黑体" w:eastAsia="黑体" w:cs="宋体"/>
          <w:b/>
          <w:bCs/>
          <w:kern w:val="0"/>
          <w:sz w:val="36"/>
          <w:szCs w:val="36"/>
        </w:rPr>
      </w:pPr>
      <w:bookmarkStart w:id="0" w:name="_Toc30654_WPSOffice_Level2"/>
      <w:r>
        <w:rPr>
          <w:rFonts w:ascii="黑体" w:eastAsia="黑体" w:cs="宋体"/>
          <w:bCs/>
          <w:kern w:val="0"/>
          <w:sz w:val="52"/>
          <w:szCs w:val="52"/>
        </w:rPr>
        <w:t>建设工程施工合同</w:t>
      </w:r>
      <w:bookmarkEnd w:id="0"/>
      <w:r>
        <w:rPr>
          <w:rFonts w:ascii="黑体" w:eastAsia="黑体" w:cs="宋体"/>
          <w:bCs/>
          <w:kern w:val="0"/>
          <w:sz w:val="52"/>
          <w:szCs w:val="52"/>
        </w:rPr>
        <w:br w:type="textWrapping"/>
      </w:r>
    </w:p>
    <w:p w14:paraId="2EE69662">
      <w:pPr>
        <w:widowControl/>
        <w:jc w:val="center"/>
        <w:rPr>
          <w:rFonts w:eastAsia="黑体" w:cs="宋体"/>
          <w:b/>
          <w:bCs/>
          <w:kern w:val="0"/>
          <w:sz w:val="36"/>
          <w:szCs w:val="36"/>
        </w:rPr>
      </w:pPr>
    </w:p>
    <w:p w14:paraId="0E0928DE">
      <w:pPr>
        <w:widowControl/>
        <w:ind w:firstLine="200"/>
        <w:jc w:val="center"/>
        <w:rPr>
          <w:rFonts w:ascii="黑体" w:eastAsia="黑体" w:cs="宋体"/>
          <w:b/>
          <w:bCs/>
          <w:kern w:val="0"/>
          <w:sz w:val="32"/>
          <w:szCs w:val="32"/>
        </w:rPr>
      </w:pPr>
    </w:p>
    <w:p w14:paraId="4B30C138">
      <w:pPr>
        <w:widowControl/>
        <w:ind w:firstLine="200"/>
        <w:jc w:val="center"/>
        <w:rPr>
          <w:rFonts w:ascii="黑体" w:eastAsia="黑体" w:cs="宋体"/>
          <w:b/>
          <w:bCs/>
          <w:kern w:val="0"/>
          <w:sz w:val="32"/>
          <w:szCs w:val="32"/>
        </w:rPr>
      </w:pPr>
    </w:p>
    <w:p w14:paraId="04EB4FBE">
      <w:pPr>
        <w:widowControl/>
        <w:ind w:firstLine="200"/>
        <w:jc w:val="center"/>
        <w:rPr>
          <w:rFonts w:ascii="黑体" w:eastAsia="黑体" w:cs="宋体"/>
          <w:b/>
          <w:bCs/>
          <w:kern w:val="0"/>
          <w:sz w:val="32"/>
          <w:szCs w:val="32"/>
        </w:rPr>
      </w:pPr>
    </w:p>
    <w:p w14:paraId="41EB05E1">
      <w:pPr>
        <w:widowControl/>
        <w:rPr>
          <w:rFonts w:ascii="黑体" w:eastAsia="黑体" w:cs="宋体"/>
          <w:b/>
          <w:bCs/>
          <w:kern w:val="0"/>
          <w:sz w:val="32"/>
          <w:szCs w:val="32"/>
        </w:rPr>
      </w:pPr>
    </w:p>
    <w:p w14:paraId="540CD1FC">
      <w:pPr>
        <w:widowControl/>
        <w:ind w:firstLine="200"/>
        <w:jc w:val="center"/>
        <w:rPr>
          <w:rFonts w:ascii="黑体" w:eastAsia="黑体" w:cs="宋体"/>
          <w:b/>
          <w:bCs/>
          <w:kern w:val="0"/>
          <w:sz w:val="32"/>
          <w:szCs w:val="32"/>
        </w:rPr>
      </w:pPr>
    </w:p>
    <w:p w14:paraId="5B22BE4D">
      <w:pPr>
        <w:ind w:right="2719" w:rightChars="1295" w:firstLine="3080" w:firstLineChars="1100"/>
        <w:jc w:val="right"/>
        <w:rPr>
          <w:rFonts w:ascii="宋体" w:hAnsi="宋体"/>
          <w:b/>
          <w:sz w:val="28"/>
          <w:szCs w:val="28"/>
        </w:rPr>
      </w:pPr>
      <w:bookmarkStart w:id="512" w:name="_GoBack"/>
      <w:bookmarkEnd w:id="512"/>
      <w:r>
        <w:rPr>
          <w:rFonts w:ascii="宋体" w:hAnsi="宋体"/>
          <w:sz w:val="28"/>
          <w:szCs w:val="28"/>
        </w:rPr>
        <mc:AlternateContent>
          <mc:Choice Requires="wps">
            <w:drawing>
              <wp:anchor distT="0" distB="0" distL="114300" distR="114300" simplePos="0" relativeHeight="251659264" behindDoc="0" locked="0" layoutInCell="1" allowOverlap="1">
                <wp:simplePos x="0" y="0"/>
                <wp:positionH relativeFrom="column">
                  <wp:posOffset>3714750</wp:posOffset>
                </wp:positionH>
                <wp:positionV relativeFrom="paragraph">
                  <wp:posOffset>131445</wp:posOffset>
                </wp:positionV>
                <wp:extent cx="657225" cy="514350"/>
                <wp:effectExtent l="4445" t="4445" r="5080" b="14605"/>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657225" cy="514350"/>
                        </a:xfrm>
                        <a:prstGeom prst="rect">
                          <a:avLst/>
                        </a:prstGeom>
                        <a:noFill/>
                        <a:ln w="9525" cmpd="sng">
                          <a:solidFill>
                            <a:srgbClr val="FFFFFF"/>
                          </a:solidFill>
                          <a:miter lim="800000"/>
                        </a:ln>
                      </wps:spPr>
                      <wps:txbx>
                        <w:txbxContent>
                          <w:p w14:paraId="0EBDC62D">
                            <w:pPr>
                              <w:rPr>
                                <w:b/>
                                <w:bCs/>
                                <w:color w:val="000000" w:themeColor="text1"/>
                                <w:sz w:val="32"/>
                                <w14:textFill>
                                  <w14:solidFill>
                                    <w14:schemeClr w14:val="tx1"/>
                                  </w14:solidFill>
                                </w14:textFill>
                              </w:rPr>
                            </w:pPr>
                            <w:r>
                              <w:rPr>
                                <w:rFonts w:hint="eastAsia"/>
                                <w:b/>
                                <w:bCs/>
                                <w:color w:val="000000" w:themeColor="text1"/>
                                <w:sz w:val="32"/>
                                <w14:textFill>
                                  <w14:solidFill>
                                    <w14:schemeClr w14:val="tx1"/>
                                  </w14:solidFill>
                                </w14:textFill>
                              </w:rPr>
                              <w:t>制定</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92.5pt;margin-top:10.35pt;height:40.5pt;width:51.75pt;z-index:251659264;mso-width-relative:page;mso-height-relative:page;" filled="f" stroked="t" coordsize="21600,21600" o:gfxdata="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ATukm9kAAAAKAQAADwAAAAAAAAABACAA&#10;AAAiAAAAZHJzL2Rvd25yZXYueG1sUEsBAhQAFAAAAAgAh07iQLXNKW5FAgAAaAQAAA4AAAAAAAAA&#10;AQAgAAAAKAEAAGRycy9lMm9Eb2MueG1sUEsFBgAAAAAGAAYAWQEAAN8FAAAAAA==&#10;">
                <v:fill on="f" focussize="0,0"/>
                <v:stroke color="#FFFFFF" miterlimit="8" joinstyle="miter"/>
                <v:imagedata o:title=""/>
                <o:lock v:ext="edit" aspectratio="f"/>
                <v:textbox>
                  <w:txbxContent>
                    <w:p w14:paraId="0EBDC62D">
                      <w:pPr>
                        <w:rPr>
                          <w:b/>
                          <w:bCs/>
                          <w:color w:val="000000" w:themeColor="text1"/>
                          <w:sz w:val="32"/>
                          <w14:textFill>
                            <w14:solidFill>
                              <w14:schemeClr w14:val="tx1"/>
                            </w14:solidFill>
                          </w14:textFill>
                        </w:rPr>
                      </w:pPr>
                      <w:r>
                        <w:rPr>
                          <w:rFonts w:hint="eastAsia"/>
                          <w:b/>
                          <w:bCs/>
                          <w:color w:val="000000" w:themeColor="text1"/>
                          <w:sz w:val="32"/>
                          <w14:textFill>
                            <w14:solidFill>
                              <w14:schemeClr w14:val="tx1"/>
                            </w14:solidFill>
                          </w14:textFill>
                        </w:rPr>
                        <w:t>制定</w:t>
                      </w:r>
                    </w:p>
                  </w:txbxContent>
                </v:textbox>
              </v:shape>
            </w:pict>
          </mc:Fallback>
        </mc:AlternateContent>
      </w:r>
      <w:r>
        <w:rPr>
          <w:rFonts w:ascii="宋体" w:hAnsi="宋体"/>
          <w:b/>
          <w:sz w:val="28"/>
          <w:szCs w:val="28"/>
        </w:rPr>
        <w:t>住房和城乡建设部</w:t>
      </w:r>
    </w:p>
    <w:p w14:paraId="7CC63579">
      <w:pPr>
        <w:ind w:right="2719" w:rightChars="1295" w:firstLine="2406" w:firstLineChars="856"/>
        <w:jc w:val="right"/>
        <w:rPr>
          <w:rFonts w:ascii="宋体" w:hAnsi="宋体"/>
          <w:b/>
          <w:sz w:val="28"/>
          <w:szCs w:val="28"/>
        </w:rPr>
      </w:pPr>
      <w:bookmarkStart w:id="1" w:name="_Toc30486_WPSOffice_Level2"/>
      <w:r>
        <w:rPr>
          <w:rFonts w:ascii="宋体" w:hAnsi="宋体"/>
          <w:b/>
          <w:sz w:val="28"/>
          <w:szCs w:val="28"/>
        </w:rPr>
        <w:t>国家工商行政管理总局</w:t>
      </w:r>
      <w:bookmarkEnd w:id="1"/>
    </w:p>
    <w:p w14:paraId="04235344">
      <w:pPr>
        <w:widowControl/>
        <w:jc w:val="left"/>
      </w:pPr>
      <w:r>
        <w:br w:type="page"/>
      </w:r>
    </w:p>
    <w:p w14:paraId="6A278607">
      <w:pPr>
        <w:jc w:val="center"/>
        <w:rPr>
          <w:b/>
          <w:color w:val="000000" w:themeColor="text1"/>
          <w:sz w:val="30"/>
          <w:szCs w:val="30"/>
          <w:highlight w:val="none"/>
          <w14:textFill>
            <w14:solidFill>
              <w14:schemeClr w14:val="tx1"/>
            </w14:solidFill>
          </w14:textFill>
        </w:rPr>
      </w:pPr>
      <w:r>
        <w:rPr>
          <w:rFonts w:hint="eastAsia"/>
          <w:b/>
          <w:color w:val="000000" w:themeColor="text1"/>
          <w:sz w:val="30"/>
          <w:szCs w:val="30"/>
          <w:highlight w:val="none"/>
          <w14:textFill>
            <w14:solidFill>
              <w14:schemeClr w14:val="tx1"/>
            </w14:solidFill>
          </w14:textFill>
        </w:rPr>
        <w:t>第一部分  合同协议书</w:t>
      </w:r>
    </w:p>
    <w:p w14:paraId="290A2F04">
      <w:pPr>
        <w:spacing w:line="360" w:lineRule="auto"/>
        <w:rPr>
          <w:rFonts w:ascii="宋体" w:hAnsi="宋体"/>
          <w:b/>
          <w:color w:val="000000" w:themeColor="text1"/>
          <w:szCs w:val="21"/>
          <w:highlight w:val="none"/>
          <w:u w:val="single"/>
          <w14:textFill>
            <w14:solidFill>
              <w14:schemeClr w14:val="tx1"/>
            </w14:solidFill>
          </w14:textFill>
        </w:rPr>
      </w:pPr>
      <w:r>
        <w:rPr>
          <w:rFonts w:ascii="宋体" w:hAnsi="宋体"/>
          <w:b/>
          <w:color w:val="000000" w:themeColor="text1"/>
          <w:szCs w:val="21"/>
          <w:highlight w:val="none"/>
          <w14:textFill>
            <w14:solidFill>
              <w14:schemeClr w14:val="tx1"/>
            </w14:solidFill>
          </w14:textFill>
        </w:rPr>
        <w:t>发包人（全称）：</w:t>
      </w:r>
      <w:r>
        <w:rPr>
          <w:rFonts w:hint="eastAsia" w:ascii="MingLiU_HKSCS" w:hAnsi="MingLiU_HKSCS" w:cs="MingLiU_HKSCS"/>
          <w:b/>
          <w:color w:val="000000" w:themeColor="text1"/>
          <w:szCs w:val="21"/>
          <w:highlight w:val="none"/>
          <w:u w:val="single"/>
          <w14:textFill>
            <w14:solidFill>
              <w14:schemeClr w14:val="tx1"/>
            </w14:solidFill>
          </w14:textFill>
        </w:rPr>
        <w:t xml:space="preserve">                           </w:t>
      </w:r>
    </w:p>
    <w:p w14:paraId="23739ACC">
      <w:pPr>
        <w:spacing w:line="360" w:lineRule="auto"/>
        <w:rPr>
          <w:rFonts w:ascii="宋体" w:hAnsi="宋体"/>
          <w:b/>
          <w:color w:val="000000" w:themeColor="text1"/>
          <w:szCs w:val="21"/>
          <w:highlight w:val="none"/>
          <w:u w:val="single"/>
          <w14:textFill>
            <w14:solidFill>
              <w14:schemeClr w14:val="tx1"/>
            </w14:solidFill>
          </w14:textFill>
        </w:rPr>
      </w:pPr>
      <w:r>
        <w:rPr>
          <w:rFonts w:ascii="宋体" w:hAnsi="宋体"/>
          <w:b/>
          <w:color w:val="000000" w:themeColor="text1"/>
          <w:szCs w:val="21"/>
          <w:highlight w:val="none"/>
          <w14:textFill>
            <w14:solidFill>
              <w14:schemeClr w14:val="tx1"/>
            </w14:solidFill>
          </w14:textFill>
        </w:rPr>
        <w:t>承包人（全称）：</w:t>
      </w:r>
      <w:r>
        <w:rPr>
          <w:rFonts w:hint="eastAsia" w:ascii="MingLiU_HKSCS" w:hAnsi="MingLiU_HKSCS" w:cs="MingLiU_HKSCS"/>
          <w:b/>
          <w:color w:val="000000" w:themeColor="text1"/>
          <w:szCs w:val="21"/>
          <w:highlight w:val="none"/>
          <w:u w:val="single"/>
          <w14:textFill>
            <w14:solidFill>
              <w14:schemeClr w14:val="tx1"/>
            </w14:solidFill>
          </w14:textFill>
        </w:rPr>
        <w:t xml:space="preserve">                           </w:t>
      </w:r>
    </w:p>
    <w:p w14:paraId="55CF8288">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根据《中华人民共和国</w:t>
      </w:r>
      <w:r>
        <w:rPr>
          <w:rFonts w:hint="eastAsia" w:ascii="宋体" w:hAnsi="宋体"/>
          <w:color w:val="000000" w:themeColor="text1"/>
          <w:szCs w:val="21"/>
          <w:highlight w:val="none"/>
          <w14:textFill>
            <w14:solidFill>
              <w14:schemeClr w14:val="tx1"/>
            </w14:solidFill>
          </w14:textFill>
        </w:rPr>
        <w:t>民法典</w:t>
      </w:r>
      <w:r>
        <w:rPr>
          <w:rFonts w:ascii="宋体" w:hAnsi="宋体"/>
          <w:color w:val="000000" w:themeColor="text1"/>
          <w:szCs w:val="21"/>
          <w:highlight w:val="none"/>
          <w14:textFill>
            <w14:solidFill>
              <w14:schemeClr w14:val="tx1"/>
            </w14:solidFill>
          </w14:textFill>
        </w:rPr>
        <w:t>》、《中华人民共和国建筑法》及有关法律规定，遵循平等、自愿、公平和诚实信用的原则，双方就</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（项目名称）（项目编号）</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施工及有关事项协商一致</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共同达成如下协议：</w:t>
      </w:r>
    </w:p>
    <w:p w14:paraId="1A3A29EE">
      <w:pPr>
        <w:spacing w:line="360" w:lineRule="auto"/>
        <w:rPr>
          <w:rFonts w:ascii="宋体" w:hAnsi="宋体"/>
          <w:b/>
          <w:color w:val="000000" w:themeColor="text1"/>
          <w:szCs w:val="21"/>
          <w:highlight w:val="none"/>
          <w14:textFill>
            <w14:solidFill>
              <w14:schemeClr w14:val="tx1"/>
            </w14:solidFill>
          </w14:textFill>
        </w:rPr>
      </w:pPr>
      <w:bookmarkStart w:id="2" w:name="_Toc351203481"/>
      <w:r>
        <w:rPr>
          <w:rFonts w:ascii="宋体" w:hAnsi="宋体"/>
          <w:b/>
          <w:color w:val="000000" w:themeColor="text1"/>
          <w:szCs w:val="21"/>
          <w:highlight w:val="none"/>
          <w14:textFill>
            <w14:solidFill>
              <w14:schemeClr w14:val="tx1"/>
            </w14:solidFill>
          </w14:textFill>
        </w:rPr>
        <w:t>一、工程概况</w:t>
      </w:r>
      <w:bookmarkEnd w:id="2"/>
    </w:p>
    <w:p w14:paraId="5C0117CA">
      <w:pPr>
        <w:spacing w:line="360" w:lineRule="auto"/>
        <w:ind w:firstLine="411" w:firstLineChars="196"/>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t>1.工程名称</w:t>
      </w:r>
      <w:r>
        <w:rPr>
          <w:rFonts w:ascii="宋体" w:hAnsi="宋体"/>
          <w:color w:val="000000" w:themeColor="text1"/>
          <w:szCs w:val="21"/>
          <w:highlight w:val="none"/>
          <w14:textFill>
            <w14:solidFill>
              <w14:schemeClr w14:val="tx1"/>
            </w14:solidFill>
          </w14:textFill>
        </w:rPr>
        <w:t>：</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bCs/>
          <w:color w:val="000000" w:themeColor="text1"/>
          <w:szCs w:val="21"/>
          <w:highlight w:val="none"/>
          <w14:textFill>
            <w14:solidFill>
              <w14:schemeClr w14:val="tx1"/>
            </w14:solidFill>
          </w14:textFill>
        </w:rPr>
        <w:t>。</w:t>
      </w:r>
    </w:p>
    <w:p w14:paraId="2F161294">
      <w:pPr>
        <w:spacing w:line="360" w:lineRule="auto"/>
        <w:ind w:firstLine="411" w:firstLineChars="196"/>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t>2.工程地点：</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bCs/>
          <w:color w:val="000000" w:themeColor="text1"/>
          <w:szCs w:val="21"/>
          <w:highlight w:val="none"/>
          <w14:textFill>
            <w14:solidFill>
              <w14:schemeClr w14:val="tx1"/>
            </w14:solidFill>
          </w14:textFill>
        </w:rPr>
        <w:t>。</w:t>
      </w:r>
    </w:p>
    <w:p w14:paraId="2400A703">
      <w:pPr>
        <w:spacing w:line="360" w:lineRule="auto"/>
        <w:ind w:firstLine="411" w:firstLineChars="196"/>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t>3.资金来源：</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bCs/>
          <w:color w:val="000000" w:themeColor="text1"/>
          <w:szCs w:val="21"/>
          <w:highlight w:val="none"/>
          <w14:textFill>
            <w14:solidFill>
              <w14:schemeClr w14:val="tx1"/>
            </w14:solidFill>
          </w14:textFill>
        </w:rPr>
        <w:t>。</w:t>
      </w:r>
    </w:p>
    <w:p w14:paraId="6D82D9CD">
      <w:pPr>
        <w:spacing w:line="360" w:lineRule="auto"/>
        <w:ind w:firstLine="411" w:firstLineChars="196"/>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t>4</w:t>
      </w:r>
      <w:r>
        <w:rPr>
          <w:rFonts w:hint="eastAsia" w:ascii="宋体" w:hAnsi="宋体"/>
          <w:bCs/>
          <w:color w:val="000000" w:themeColor="text1"/>
          <w:szCs w:val="21"/>
          <w:highlight w:val="none"/>
          <w14:textFill>
            <w14:solidFill>
              <w14:schemeClr w14:val="tx1"/>
            </w14:solidFill>
          </w14:textFill>
        </w:rPr>
        <w:t>.工程内容：</w:t>
      </w:r>
      <w:r>
        <w:rPr>
          <w:rFonts w:hint="eastAsia" w:ascii="MingLiU_HKSCS" w:hAnsi="MingLiU_HKSCS" w:cs="MingLiU_HKSCS"/>
          <w:color w:val="000000" w:themeColor="text1"/>
          <w:szCs w:val="21"/>
          <w:highlight w:val="none"/>
          <w:u w:val="single"/>
          <w14:textFill>
            <w14:solidFill>
              <w14:schemeClr w14:val="tx1"/>
            </w14:solidFill>
          </w14:textFill>
        </w:rPr>
        <w:t xml:space="preserve">   详见工程量清单       </w:t>
      </w:r>
      <w:r>
        <w:rPr>
          <w:rFonts w:ascii="宋体" w:hAnsi="宋体"/>
          <w:color w:val="000000" w:themeColor="text1"/>
          <w:szCs w:val="21"/>
          <w:highlight w:val="none"/>
          <w:u w:val="single"/>
          <w14:textFill>
            <w14:solidFill>
              <w14:schemeClr w14:val="tx1"/>
            </w14:solidFill>
          </w14:textFill>
        </w:rPr>
        <w:t xml:space="preserve"> </w:t>
      </w:r>
      <w:r>
        <w:rPr>
          <w:rFonts w:ascii="宋体" w:hAnsi="宋体"/>
          <w:bCs/>
          <w:color w:val="000000" w:themeColor="text1"/>
          <w:szCs w:val="21"/>
          <w:highlight w:val="none"/>
          <w14:textFill>
            <w14:solidFill>
              <w14:schemeClr w14:val="tx1"/>
            </w14:solidFill>
          </w14:textFill>
        </w:rPr>
        <w:t>。</w:t>
      </w:r>
    </w:p>
    <w:p w14:paraId="0794601E">
      <w:pPr>
        <w:spacing w:line="360" w:lineRule="auto"/>
        <w:ind w:firstLine="411" w:firstLineChars="196"/>
        <w:rPr>
          <w:rFonts w:ascii="宋体" w:hAnsi="宋体"/>
          <w:bCs/>
          <w:color w:val="000000" w:themeColor="text1"/>
          <w:szCs w:val="21"/>
          <w:highlight w:val="none"/>
          <w:u w:val="single"/>
          <w14:textFill>
            <w14:solidFill>
              <w14:schemeClr w14:val="tx1"/>
            </w14:solidFill>
          </w14:textFill>
        </w:rPr>
      </w:pPr>
      <w:r>
        <w:rPr>
          <w:rFonts w:ascii="宋体" w:hAnsi="宋体"/>
          <w:bCs/>
          <w:color w:val="000000" w:themeColor="text1"/>
          <w:szCs w:val="21"/>
          <w:highlight w:val="none"/>
          <w14:textFill>
            <w14:solidFill>
              <w14:schemeClr w14:val="tx1"/>
            </w14:solidFill>
          </w14:textFill>
        </w:rPr>
        <w:t>5.工程承包范围：</w:t>
      </w:r>
      <w:r>
        <w:rPr>
          <w:rFonts w:hint="eastAsia" w:ascii="宋体" w:hAnsi="宋体"/>
          <w:bCs/>
          <w:color w:val="000000" w:themeColor="text1"/>
          <w:szCs w:val="21"/>
          <w:highlight w:val="none"/>
          <w:u w:val="single"/>
          <w14:textFill>
            <w14:solidFill>
              <w14:schemeClr w14:val="tx1"/>
            </w14:solidFill>
          </w14:textFill>
        </w:rPr>
        <w:t>工程量清单、答疑以及本</w:t>
      </w:r>
      <w:r>
        <w:rPr>
          <w:rFonts w:hint="eastAsia" w:ascii="宋体" w:hAnsi="宋体"/>
          <w:bCs/>
          <w:color w:val="000000" w:themeColor="text1"/>
          <w:szCs w:val="21"/>
          <w:highlight w:val="none"/>
          <w:u w:val="single"/>
          <w:lang w:val="en-US" w:eastAsia="zh-CN"/>
          <w14:textFill>
            <w14:solidFill>
              <w14:schemeClr w14:val="tx1"/>
            </w14:solidFill>
          </w14:textFill>
        </w:rPr>
        <w:t>采购</w:t>
      </w:r>
      <w:r>
        <w:rPr>
          <w:rFonts w:hint="eastAsia" w:ascii="宋体" w:hAnsi="宋体"/>
          <w:bCs/>
          <w:color w:val="000000" w:themeColor="text1"/>
          <w:szCs w:val="21"/>
          <w:highlight w:val="none"/>
          <w:u w:val="single"/>
          <w14:textFill>
            <w14:solidFill>
              <w14:schemeClr w14:val="tx1"/>
            </w14:solidFill>
          </w14:textFill>
        </w:rPr>
        <w:t>文件规定的全部内容。文字与清单不符时，以清单为准。</w:t>
      </w:r>
      <w:bookmarkStart w:id="3" w:name="_Toc351203482"/>
    </w:p>
    <w:p w14:paraId="711B7496">
      <w:pPr>
        <w:spacing w:line="360" w:lineRule="auto"/>
        <w:rPr>
          <w:rFonts w:ascii="宋体" w:hAnsi="宋体"/>
          <w:bCs/>
          <w:color w:val="000000" w:themeColor="text1"/>
          <w:szCs w:val="21"/>
          <w:highlight w:val="none"/>
          <w:u w:val="single"/>
          <w14:textFill>
            <w14:solidFill>
              <w14:schemeClr w14:val="tx1"/>
            </w14:solidFill>
          </w14:textFill>
        </w:rPr>
      </w:pPr>
      <w:r>
        <w:rPr>
          <w:rFonts w:ascii="宋体" w:hAnsi="宋体"/>
          <w:b/>
          <w:color w:val="000000" w:themeColor="text1"/>
          <w:szCs w:val="21"/>
          <w:highlight w:val="none"/>
          <w14:textFill>
            <w14:solidFill>
              <w14:schemeClr w14:val="tx1"/>
            </w14:solidFill>
          </w14:textFill>
        </w:rPr>
        <w:t>二、合同工期</w:t>
      </w:r>
      <w:bookmarkEnd w:id="3"/>
    </w:p>
    <w:p w14:paraId="3F6E9086">
      <w:pPr>
        <w:spacing w:line="360" w:lineRule="auto"/>
        <w:ind w:firstLine="459"/>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计划开工日期：</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年</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月</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日。</w:t>
      </w:r>
    </w:p>
    <w:p w14:paraId="38451276">
      <w:pPr>
        <w:spacing w:line="360" w:lineRule="auto"/>
        <w:ind w:firstLine="459"/>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计划竣工日期：</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年</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月</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日。</w:t>
      </w:r>
    </w:p>
    <w:p w14:paraId="2E301C92">
      <w:pPr>
        <w:spacing w:line="360" w:lineRule="auto"/>
        <w:ind w:firstLine="459"/>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工期总日历天数：</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天。工期总日历天数与根据前述计划开竣工日期计算的工期天数不一致的，以工期总日历天数为准。</w:t>
      </w:r>
    </w:p>
    <w:p w14:paraId="05F6A82C">
      <w:pPr>
        <w:spacing w:line="360" w:lineRule="auto"/>
        <w:rPr>
          <w:rFonts w:ascii="宋体" w:hAnsi="宋体"/>
          <w:b/>
          <w:color w:val="000000" w:themeColor="text1"/>
          <w:szCs w:val="21"/>
          <w:highlight w:val="none"/>
          <w14:textFill>
            <w14:solidFill>
              <w14:schemeClr w14:val="tx1"/>
            </w14:solidFill>
          </w14:textFill>
        </w:rPr>
      </w:pPr>
      <w:bookmarkStart w:id="4" w:name="_Toc351203483"/>
      <w:r>
        <w:rPr>
          <w:rFonts w:ascii="宋体" w:hAnsi="宋体"/>
          <w:b/>
          <w:color w:val="000000" w:themeColor="text1"/>
          <w:szCs w:val="21"/>
          <w:highlight w:val="none"/>
          <w14:textFill>
            <w14:solidFill>
              <w14:schemeClr w14:val="tx1"/>
            </w14:solidFill>
          </w14:textFill>
        </w:rPr>
        <w:t>三、质量标准</w:t>
      </w:r>
      <w:bookmarkEnd w:id="4"/>
    </w:p>
    <w:p w14:paraId="7E9AA49A">
      <w:pPr>
        <w:spacing w:line="360" w:lineRule="auto"/>
        <w:ind w:firstLine="459"/>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工程质量符合</w:t>
      </w:r>
      <w:r>
        <w:rPr>
          <w:rFonts w:hint="eastAsia" w:ascii="宋体" w:hAnsi="宋体"/>
          <w:color w:val="000000" w:themeColor="text1"/>
          <w:szCs w:val="21"/>
          <w:highlight w:val="none"/>
          <w14:textFill>
            <w14:solidFill>
              <w14:schemeClr w14:val="tx1"/>
            </w14:solidFill>
          </w14:textFill>
        </w:rPr>
        <w:t xml:space="preserve"> </w:t>
      </w:r>
      <w:r>
        <w:rPr>
          <w:rFonts w:hint="eastAsia" w:ascii="MingLiU_HKSCS" w:hAnsi="MingLiU_HKSCS" w:cs="MingLiU_HKSCS"/>
          <w:color w:val="000000" w:themeColor="text1"/>
          <w:szCs w:val="21"/>
          <w:highlight w:val="none"/>
          <w:u w:val="single"/>
          <w14:textFill>
            <w14:solidFill>
              <w14:schemeClr w14:val="tx1"/>
            </w14:solidFill>
          </w14:textFill>
        </w:rPr>
        <w:t>合格</w:t>
      </w:r>
      <w:r>
        <w:rPr>
          <w:rFonts w:hint="eastAsia" w:ascii="MingLiU_HKSCS" w:hAnsi="MingLiU_HKSCS" w:cs="MingLiU_HKSCS"/>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标准。</w:t>
      </w:r>
      <w:bookmarkStart w:id="5" w:name="_Toc351203484"/>
    </w:p>
    <w:p w14:paraId="51496E9A">
      <w:pPr>
        <w:spacing w:line="360" w:lineRule="auto"/>
        <w:rPr>
          <w:rFonts w:ascii="宋体" w:hAnsi="宋体"/>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四、签约合同价与合同价格形式</w:t>
      </w:r>
      <w:bookmarkEnd w:id="5"/>
      <w:r>
        <w:rPr>
          <w:rFonts w:ascii="宋体" w:hAnsi="宋体"/>
          <w:b/>
          <w:color w:val="000000" w:themeColor="text1"/>
          <w:szCs w:val="21"/>
          <w:highlight w:val="none"/>
          <w14:textFill>
            <w14:solidFill>
              <w14:schemeClr w14:val="tx1"/>
            </w14:solidFill>
          </w14:textFill>
        </w:rPr>
        <w:tab/>
      </w:r>
    </w:p>
    <w:p w14:paraId="3EB2FD94">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1.签约合同价为：</w:t>
      </w:r>
    </w:p>
    <w:p w14:paraId="2B4E3388">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人民币（大写）</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611D36AF">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其中：</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元)；</w:t>
      </w:r>
    </w:p>
    <w:p w14:paraId="4DC1B237">
      <w:pPr>
        <w:spacing w:line="360" w:lineRule="auto"/>
        <w:ind w:firstLine="1050" w:firstLineChars="5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元)；</w:t>
      </w:r>
    </w:p>
    <w:p w14:paraId="35B93EE9">
      <w:pPr>
        <w:spacing w:line="360" w:lineRule="auto"/>
        <w:ind w:firstLine="1050" w:firstLineChars="500"/>
        <w:rPr>
          <w:color w:val="000000" w:themeColor="text1"/>
          <w:highlight w:val="none"/>
          <w14:textFill>
            <w14:solidFill>
              <w14:schemeClr w14:val="tx1"/>
            </w14:solidFill>
          </w14:textFill>
        </w:rPr>
      </w:pP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元)；</w:t>
      </w:r>
    </w:p>
    <w:p w14:paraId="2761FD5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2.合同价格形式：</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3721DACA">
      <w:pPr>
        <w:spacing w:line="360" w:lineRule="auto"/>
        <w:rPr>
          <w:rFonts w:ascii="宋体" w:hAnsi="宋体"/>
          <w:b/>
          <w:color w:val="000000" w:themeColor="text1"/>
          <w:szCs w:val="21"/>
          <w:highlight w:val="none"/>
          <w14:textFill>
            <w14:solidFill>
              <w14:schemeClr w14:val="tx1"/>
            </w14:solidFill>
          </w14:textFill>
        </w:rPr>
      </w:pPr>
      <w:bookmarkStart w:id="6" w:name="_Toc351203485"/>
      <w:r>
        <w:rPr>
          <w:rFonts w:ascii="宋体" w:hAnsi="宋体"/>
          <w:b/>
          <w:color w:val="000000" w:themeColor="text1"/>
          <w:szCs w:val="21"/>
          <w:highlight w:val="none"/>
          <w14:textFill>
            <w14:solidFill>
              <w14:schemeClr w14:val="tx1"/>
            </w14:solidFill>
          </w14:textFill>
        </w:rPr>
        <w:t>五、</w:t>
      </w:r>
      <w:bookmarkEnd w:id="6"/>
      <w:r>
        <w:rPr>
          <w:rFonts w:ascii="宋体" w:hAnsi="宋体"/>
          <w:b/>
          <w:color w:val="000000" w:themeColor="text1"/>
          <w:szCs w:val="21"/>
          <w:highlight w:val="none"/>
          <w14:textFill>
            <w14:solidFill>
              <w14:schemeClr w14:val="tx1"/>
            </w14:solidFill>
          </w14:textFill>
        </w:rPr>
        <w:t>项目经理</w:t>
      </w:r>
    </w:p>
    <w:p w14:paraId="6029D10F">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承包人项目经理：</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3D4F01D7">
      <w:pPr>
        <w:spacing w:line="360" w:lineRule="auto"/>
        <w:rPr>
          <w:rFonts w:ascii="宋体" w:hAnsi="宋体"/>
          <w:b/>
          <w:color w:val="000000" w:themeColor="text1"/>
          <w:szCs w:val="21"/>
          <w:highlight w:val="none"/>
          <w14:textFill>
            <w14:solidFill>
              <w14:schemeClr w14:val="tx1"/>
            </w14:solidFill>
          </w14:textFill>
        </w:rPr>
      </w:pPr>
      <w:bookmarkStart w:id="7" w:name="_Toc351203486"/>
      <w:r>
        <w:rPr>
          <w:rFonts w:ascii="宋体" w:hAnsi="宋体"/>
          <w:b/>
          <w:color w:val="000000" w:themeColor="text1"/>
          <w:szCs w:val="21"/>
          <w:highlight w:val="none"/>
          <w14:textFill>
            <w14:solidFill>
              <w14:schemeClr w14:val="tx1"/>
            </w14:solidFill>
          </w14:textFill>
        </w:rPr>
        <w:t xml:space="preserve"> 六、合同文件构成</w:t>
      </w:r>
      <w:bookmarkEnd w:id="7"/>
    </w:p>
    <w:p w14:paraId="63BAA66E">
      <w:pPr>
        <w:spacing w:line="360" w:lineRule="auto"/>
        <w:ind w:firstLine="420" w:firstLineChars="200"/>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t>本协议书与下列文件一起构成合同文件：</w:t>
      </w:r>
    </w:p>
    <w:p w14:paraId="4BECE28D">
      <w:pPr>
        <w:autoSpaceDE w:val="0"/>
        <w:autoSpaceDN w:val="0"/>
        <w:adjustRightInd w:val="0"/>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（1）中标通知书</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2F459F02">
      <w:pPr>
        <w:autoSpaceDE w:val="0"/>
        <w:autoSpaceDN w:val="0"/>
        <w:adjustRightInd w:val="0"/>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（2）投标函及其附录</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p>
    <w:p w14:paraId="43DB85C6">
      <w:pPr>
        <w:autoSpaceDE w:val="0"/>
        <w:autoSpaceDN w:val="0"/>
        <w:adjustRightInd w:val="0"/>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（3）专用合同条款及其附件；</w:t>
      </w:r>
    </w:p>
    <w:p w14:paraId="44B50231">
      <w:pPr>
        <w:autoSpaceDE w:val="0"/>
        <w:autoSpaceDN w:val="0"/>
        <w:adjustRightInd w:val="0"/>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（4）通用合同条款；</w:t>
      </w:r>
    </w:p>
    <w:p w14:paraId="7469F198">
      <w:pPr>
        <w:autoSpaceDE w:val="0"/>
        <w:autoSpaceDN w:val="0"/>
        <w:adjustRightInd w:val="0"/>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（5）技术标准和要求；</w:t>
      </w:r>
    </w:p>
    <w:p w14:paraId="7C711DCC">
      <w:pPr>
        <w:autoSpaceDE w:val="0"/>
        <w:autoSpaceDN w:val="0"/>
        <w:adjustRightInd w:val="0"/>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（6）图纸；</w:t>
      </w:r>
    </w:p>
    <w:p w14:paraId="751E3321">
      <w:pPr>
        <w:autoSpaceDE w:val="0"/>
        <w:autoSpaceDN w:val="0"/>
        <w:adjustRightInd w:val="0"/>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（7）已标价工程量清单或预算书；</w:t>
      </w:r>
    </w:p>
    <w:p w14:paraId="38850814">
      <w:pPr>
        <w:autoSpaceDE w:val="0"/>
        <w:autoSpaceDN w:val="0"/>
        <w:adjustRightInd w:val="0"/>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（8）其他合同文件。</w:t>
      </w:r>
    </w:p>
    <w:p w14:paraId="5D5949E6">
      <w:pPr>
        <w:autoSpaceDE w:val="0"/>
        <w:autoSpaceDN w:val="0"/>
        <w:adjustRightInd w:val="0"/>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在合同订立及履行过程中形成的与合同有关的文件均构成合同文件组成部分。</w:t>
      </w:r>
    </w:p>
    <w:p w14:paraId="34D53E8E">
      <w:pPr>
        <w:autoSpaceDE w:val="0"/>
        <w:autoSpaceDN w:val="0"/>
        <w:adjustRightInd w:val="0"/>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上述各项合同文件包括合同当事人就该项合同文件所作出的补充和修改，属于同一类内容的文件，应以最新签署的为准。</w:t>
      </w:r>
      <w:r>
        <w:rPr>
          <w:rFonts w:hint="eastAsia" w:ascii="宋体" w:hAnsi="宋体"/>
          <w:color w:val="000000" w:themeColor="text1"/>
          <w:szCs w:val="21"/>
          <w:highlight w:val="none"/>
          <w14:textFill>
            <w14:solidFill>
              <w14:schemeClr w14:val="tx1"/>
            </w14:solidFill>
          </w14:textFill>
        </w:rPr>
        <w:t>专用合同条款及其附件须经合同当事人签字或盖章。</w:t>
      </w:r>
    </w:p>
    <w:p w14:paraId="379D511B">
      <w:pPr>
        <w:spacing w:line="360" w:lineRule="auto"/>
        <w:rPr>
          <w:rFonts w:ascii="宋体" w:hAnsi="宋体"/>
          <w:b/>
          <w:color w:val="000000" w:themeColor="text1"/>
          <w:szCs w:val="21"/>
          <w:highlight w:val="none"/>
          <w14:textFill>
            <w14:solidFill>
              <w14:schemeClr w14:val="tx1"/>
            </w14:solidFill>
          </w14:textFill>
        </w:rPr>
      </w:pPr>
      <w:bookmarkStart w:id="8" w:name="_Toc351203487"/>
      <w:r>
        <w:rPr>
          <w:rFonts w:ascii="宋体" w:hAnsi="宋体"/>
          <w:b/>
          <w:color w:val="000000" w:themeColor="text1"/>
          <w:szCs w:val="21"/>
          <w:highlight w:val="none"/>
          <w14:textFill>
            <w14:solidFill>
              <w14:schemeClr w14:val="tx1"/>
            </w14:solidFill>
          </w14:textFill>
        </w:rPr>
        <w:t xml:space="preserve"> 七、承诺</w:t>
      </w:r>
      <w:bookmarkEnd w:id="8"/>
    </w:p>
    <w:p w14:paraId="084814B3">
      <w:pPr>
        <w:spacing w:line="360" w:lineRule="auto"/>
        <w:ind w:firstLine="420" w:firstLineChars="200"/>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t>1.发包人承诺按照法律规定履行项目审批手续、筹集工程建设资金并按照合同约定的期限和方式支付合同价款。</w:t>
      </w:r>
    </w:p>
    <w:p w14:paraId="31261086">
      <w:pPr>
        <w:spacing w:line="360" w:lineRule="auto"/>
        <w:ind w:firstLine="420" w:firstLineChars="200"/>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t>2.承包人承诺按照法律规定及合同约定组织完成工程施工，确保工程质量和安全，不进行转包及违法分包，并在缺陷责任期及保修期内承担相应的工程维修责任。</w:t>
      </w:r>
    </w:p>
    <w:p w14:paraId="426246C5">
      <w:pPr>
        <w:spacing w:line="360" w:lineRule="auto"/>
        <w:ind w:firstLine="420" w:firstLineChars="200"/>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t>3.发包人和承包人通过招投标形式签订合同的，双方理解并</w:t>
      </w:r>
      <w:r>
        <w:rPr>
          <w:rFonts w:hint="eastAsia" w:ascii="宋体" w:hAnsi="宋体"/>
          <w:bCs/>
          <w:color w:val="000000" w:themeColor="text1"/>
          <w:szCs w:val="21"/>
          <w:highlight w:val="none"/>
          <w14:textFill>
            <w14:solidFill>
              <w14:schemeClr w14:val="tx1"/>
            </w14:solidFill>
          </w14:textFill>
        </w:rPr>
        <w:t>承诺</w:t>
      </w:r>
      <w:r>
        <w:rPr>
          <w:rFonts w:ascii="宋体" w:hAnsi="宋体"/>
          <w:bCs/>
          <w:color w:val="000000" w:themeColor="text1"/>
          <w:szCs w:val="21"/>
          <w:highlight w:val="none"/>
          <w14:textFill>
            <w14:solidFill>
              <w14:schemeClr w14:val="tx1"/>
            </w14:solidFill>
          </w14:textFill>
        </w:rPr>
        <w:t>不再就同一工程另行签订与合同实质性内容相背离的协议。</w:t>
      </w:r>
    </w:p>
    <w:p w14:paraId="50EB2FA6">
      <w:pPr>
        <w:spacing w:line="360" w:lineRule="auto"/>
        <w:rPr>
          <w:rFonts w:ascii="宋体" w:hAnsi="宋体"/>
          <w:bCs/>
          <w:color w:val="000000" w:themeColor="text1"/>
          <w:szCs w:val="21"/>
          <w:highlight w:val="none"/>
          <w14:textFill>
            <w14:solidFill>
              <w14:schemeClr w14:val="tx1"/>
            </w14:solidFill>
          </w14:textFill>
        </w:rPr>
      </w:pPr>
      <w:bookmarkStart w:id="9" w:name="_Toc351203488"/>
      <w:r>
        <w:rPr>
          <w:rFonts w:hint="eastAsia" w:ascii="宋体" w:hAnsi="宋体"/>
          <w:b/>
          <w:color w:val="000000" w:themeColor="text1"/>
          <w:szCs w:val="21"/>
          <w:highlight w:val="none"/>
          <w14:textFill>
            <w14:solidFill>
              <w14:schemeClr w14:val="tx1"/>
            </w14:solidFill>
          </w14:textFill>
        </w:rPr>
        <w:t xml:space="preserve"> </w:t>
      </w:r>
      <w:r>
        <w:rPr>
          <w:rFonts w:ascii="宋体" w:hAnsi="宋体"/>
          <w:b/>
          <w:color w:val="000000" w:themeColor="text1"/>
          <w:szCs w:val="21"/>
          <w:highlight w:val="none"/>
          <w14:textFill>
            <w14:solidFill>
              <w14:schemeClr w14:val="tx1"/>
            </w14:solidFill>
          </w14:textFill>
        </w:rPr>
        <w:t>八、词语含义</w:t>
      </w:r>
      <w:bookmarkEnd w:id="9"/>
    </w:p>
    <w:p w14:paraId="759069FB">
      <w:pPr>
        <w:spacing w:line="360" w:lineRule="auto"/>
        <w:ind w:firstLine="420" w:firstLineChars="200"/>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t>本协议书中词语含义与第二部分通用合同条款中赋予的含义相同。</w:t>
      </w:r>
    </w:p>
    <w:p w14:paraId="112311FA">
      <w:pPr>
        <w:spacing w:line="360" w:lineRule="auto"/>
        <w:rPr>
          <w:rFonts w:ascii="宋体" w:hAnsi="宋体"/>
          <w:bCs/>
          <w:color w:val="000000" w:themeColor="text1"/>
          <w:szCs w:val="21"/>
          <w:highlight w:val="none"/>
          <w14:textFill>
            <w14:solidFill>
              <w14:schemeClr w14:val="tx1"/>
            </w14:solidFill>
          </w14:textFill>
        </w:rPr>
      </w:pPr>
      <w:bookmarkStart w:id="10" w:name="_Toc351203489"/>
      <w:r>
        <w:rPr>
          <w:rFonts w:ascii="宋体" w:hAnsi="宋体"/>
          <w:bCs/>
          <w:color w:val="000000" w:themeColor="text1"/>
          <w:szCs w:val="21"/>
          <w:highlight w:val="none"/>
          <w14:textFill>
            <w14:solidFill>
              <w14:schemeClr w14:val="tx1"/>
            </w14:solidFill>
          </w14:textFill>
        </w:rPr>
        <w:t xml:space="preserve"> </w:t>
      </w:r>
      <w:r>
        <w:rPr>
          <w:rFonts w:ascii="宋体" w:hAnsi="宋体"/>
          <w:b/>
          <w:color w:val="000000" w:themeColor="text1"/>
          <w:szCs w:val="21"/>
          <w:highlight w:val="none"/>
          <w14:textFill>
            <w14:solidFill>
              <w14:schemeClr w14:val="tx1"/>
            </w14:solidFill>
          </w14:textFill>
        </w:rPr>
        <w:t>九、签订时间</w:t>
      </w:r>
      <w:bookmarkEnd w:id="10"/>
    </w:p>
    <w:p w14:paraId="77EF1DDC">
      <w:pPr>
        <w:spacing w:line="360" w:lineRule="auto"/>
        <w:ind w:firstLine="420" w:firstLineChars="200"/>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t>本合同于</w:t>
      </w:r>
      <w:r>
        <w:rPr>
          <w:rFonts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u w:val="single"/>
          <w14:textFill>
            <w14:solidFill>
              <w14:schemeClr w14:val="tx1"/>
            </w14:solidFill>
          </w14:textFill>
        </w:rPr>
        <w:t xml:space="preserve"> </w:t>
      </w:r>
      <w:r>
        <w:rPr>
          <w:rFonts w:ascii="宋体" w:hAnsi="宋体"/>
          <w:bCs/>
          <w:color w:val="000000" w:themeColor="text1"/>
          <w:szCs w:val="21"/>
          <w:highlight w:val="none"/>
          <w:u w:val="single"/>
          <w14:textFill>
            <w14:solidFill>
              <w14:schemeClr w14:val="tx1"/>
            </w14:solidFill>
          </w14:textFill>
        </w:rPr>
        <w:t xml:space="preserve"> </w:t>
      </w:r>
      <w:r>
        <w:rPr>
          <w:rFonts w:ascii="宋体" w:hAnsi="宋体"/>
          <w:bCs/>
          <w:color w:val="000000" w:themeColor="text1"/>
          <w:szCs w:val="21"/>
          <w:highlight w:val="none"/>
          <w14:textFill>
            <w14:solidFill>
              <w14:schemeClr w14:val="tx1"/>
            </w14:solidFill>
          </w14:textFill>
        </w:rPr>
        <w:t>年</w:t>
      </w:r>
      <w:r>
        <w:rPr>
          <w:rFonts w:ascii="宋体" w:hAnsi="宋体"/>
          <w:bCs/>
          <w:color w:val="000000" w:themeColor="text1"/>
          <w:szCs w:val="21"/>
          <w:highlight w:val="none"/>
          <w:u w:val="single"/>
          <w14:textFill>
            <w14:solidFill>
              <w14:schemeClr w14:val="tx1"/>
            </w14:solidFill>
          </w14:textFill>
        </w:rPr>
        <w:t xml:space="preserve">   </w:t>
      </w:r>
      <w:r>
        <w:rPr>
          <w:rFonts w:ascii="宋体" w:hAnsi="宋体"/>
          <w:bCs/>
          <w:color w:val="000000" w:themeColor="text1"/>
          <w:szCs w:val="21"/>
          <w:highlight w:val="none"/>
          <w14:textFill>
            <w14:solidFill>
              <w14:schemeClr w14:val="tx1"/>
            </w14:solidFill>
          </w14:textFill>
        </w:rPr>
        <w:t>月</w:t>
      </w:r>
      <w:r>
        <w:rPr>
          <w:rFonts w:ascii="宋体" w:hAnsi="宋体"/>
          <w:bCs/>
          <w:color w:val="000000" w:themeColor="text1"/>
          <w:szCs w:val="21"/>
          <w:highlight w:val="none"/>
          <w:u w:val="single"/>
          <w14:textFill>
            <w14:solidFill>
              <w14:schemeClr w14:val="tx1"/>
            </w14:solidFill>
          </w14:textFill>
        </w:rPr>
        <w:t xml:space="preserve">   </w:t>
      </w:r>
      <w:r>
        <w:rPr>
          <w:rFonts w:ascii="宋体" w:hAnsi="宋体"/>
          <w:bCs/>
          <w:color w:val="000000" w:themeColor="text1"/>
          <w:szCs w:val="21"/>
          <w:highlight w:val="none"/>
          <w14:textFill>
            <w14:solidFill>
              <w14:schemeClr w14:val="tx1"/>
            </w14:solidFill>
          </w14:textFill>
        </w:rPr>
        <w:t>日签订。</w:t>
      </w:r>
    </w:p>
    <w:p w14:paraId="158FB419">
      <w:pPr>
        <w:spacing w:line="360" w:lineRule="auto"/>
        <w:rPr>
          <w:rFonts w:ascii="宋体" w:hAnsi="宋体"/>
          <w:bCs/>
          <w:color w:val="000000" w:themeColor="text1"/>
          <w:szCs w:val="21"/>
          <w:highlight w:val="none"/>
          <w14:textFill>
            <w14:solidFill>
              <w14:schemeClr w14:val="tx1"/>
            </w14:solidFill>
          </w14:textFill>
        </w:rPr>
      </w:pPr>
      <w:bookmarkStart w:id="11" w:name="_Toc351203490"/>
      <w:r>
        <w:rPr>
          <w:rFonts w:ascii="宋体" w:hAnsi="宋体"/>
          <w:bCs/>
          <w:color w:val="000000" w:themeColor="text1"/>
          <w:szCs w:val="21"/>
          <w:highlight w:val="none"/>
          <w14:textFill>
            <w14:solidFill>
              <w14:schemeClr w14:val="tx1"/>
            </w14:solidFill>
          </w14:textFill>
        </w:rPr>
        <w:t xml:space="preserve"> </w:t>
      </w:r>
      <w:r>
        <w:rPr>
          <w:rFonts w:ascii="宋体" w:hAnsi="宋体"/>
          <w:b/>
          <w:color w:val="000000" w:themeColor="text1"/>
          <w:szCs w:val="21"/>
          <w:highlight w:val="none"/>
          <w14:textFill>
            <w14:solidFill>
              <w14:schemeClr w14:val="tx1"/>
            </w14:solidFill>
          </w14:textFill>
        </w:rPr>
        <w:t>十、签订地点</w:t>
      </w:r>
      <w:bookmarkEnd w:id="11"/>
    </w:p>
    <w:p w14:paraId="402ABF4B">
      <w:pPr>
        <w:spacing w:line="360" w:lineRule="auto"/>
        <w:ind w:firstLine="420" w:firstLineChars="200"/>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t>本合同在</w:t>
      </w:r>
      <w:r>
        <w:rPr>
          <w:rFonts w:ascii="宋体" w:hAnsi="宋体"/>
          <w:bCs/>
          <w:color w:val="000000" w:themeColor="text1"/>
          <w:szCs w:val="21"/>
          <w:highlight w:val="none"/>
          <w:u w:val="single"/>
          <w14:textFill>
            <w14:solidFill>
              <w14:schemeClr w14:val="tx1"/>
            </w14:solidFill>
          </w14:textFill>
        </w:rPr>
        <w:t xml:space="preserve">             </w:t>
      </w:r>
      <w:r>
        <w:rPr>
          <w:rFonts w:ascii="宋体" w:hAnsi="宋体"/>
          <w:bCs/>
          <w:color w:val="000000" w:themeColor="text1"/>
          <w:szCs w:val="21"/>
          <w:highlight w:val="none"/>
          <w14:textFill>
            <w14:solidFill>
              <w14:schemeClr w14:val="tx1"/>
            </w14:solidFill>
          </w14:textFill>
        </w:rPr>
        <w:t>签订。</w:t>
      </w:r>
    </w:p>
    <w:p w14:paraId="1398EB31">
      <w:pPr>
        <w:spacing w:line="360" w:lineRule="auto"/>
        <w:rPr>
          <w:rFonts w:ascii="宋体" w:hAnsi="宋体"/>
          <w:bCs/>
          <w:color w:val="000000" w:themeColor="text1"/>
          <w:szCs w:val="21"/>
          <w:highlight w:val="none"/>
          <w14:textFill>
            <w14:solidFill>
              <w14:schemeClr w14:val="tx1"/>
            </w14:solidFill>
          </w14:textFill>
        </w:rPr>
      </w:pPr>
      <w:bookmarkStart w:id="12" w:name="_Toc351203491"/>
      <w:r>
        <w:rPr>
          <w:rFonts w:ascii="宋体" w:hAnsi="宋体"/>
          <w:bCs/>
          <w:color w:val="000000" w:themeColor="text1"/>
          <w:szCs w:val="21"/>
          <w:highlight w:val="none"/>
          <w14:textFill>
            <w14:solidFill>
              <w14:schemeClr w14:val="tx1"/>
            </w14:solidFill>
          </w14:textFill>
        </w:rPr>
        <w:t xml:space="preserve"> </w:t>
      </w:r>
      <w:r>
        <w:rPr>
          <w:rFonts w:ascii="宋体" w:hAnsi="宋体"/>
          <w:b/>
          <w:color w:val="000000" w:themeColor="text1"/>
          <w:szCs w:val="21"/>
          <w:highlight w:val="none"/>
          <w14:textFill>
            <w14:solidFill>
              <w14:schemeClr w14:val="tx1"/>
            </w14:solidFill>
          </w14:textFill>
        </w:rPr>
        <w:t>十一、补充协议</w:t>
      </w:r>
      <w:bookmarkEnd w:id="12"/>
    </w:p>
    <w:p w14:paraId="023AE1B3">
      <w:pPr>
        <w:spacing w:line="360" w:lineRule="auto"/>
        <w:ind w:firstLine="420" w:firstLineChars="200"/>
        <w:rPr>
          <w:rFonts w:ascii="宋体" w:hAnsi="宋体"/>
          <w:b/>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t>合同未尽事宜，合同当事人另行签订补充协议</w:t>
      </w:r>
      <w:r>
        <w:rPr>
          <w:rFonts w:hint="eastAsia" w:ascii="宋体" w:hAnsi="宋体"/>
          <w:bCs/>
          <w:color w:val="000000" w:themeColor="text1"/>
          <w:szCs w:val="21"/>
          <w:highlight w:val="none"/>
          <w14:textFill>
            <w14:solidFill>
              <w14:schemeClr w14:val="tx1"/>
            </w14:solidFill>
          </w14:textFill>
        </w:rPr>
        <w:t>，</w:t>
      </w:r>
      <w:r>
        <w:rPr>
          <w:rFonts w:ascii="宋体" w:hAnsi="宋体"/>
          <w:bCs/>
          <w:color w:val="000000" w:themeColor="text1"/>
          <w:szCs w:val="21"/>
          <w:highlight w:val="none"/>
          <w14:textFill>
            <w14:solidFill>
              <w14:schemeClr w14:val="tx1"/>
            </w14:solidFill>
          </w14:textFill>
        </w:rPr>
        <w:t>补充协议是合同的组成部分。</w:t>
      </w:r>
    </w:p>
    <w:p w14:paraId="134618D2">
      <w:pPr>
        <w:spacing w:line="360" w:lineRule="auto"/>
        <w:rPr>
          <w:rFonts w:ascii="宋体" w:hAnsi="宋体"/>
          <w:b/>
          <w:color w:val="000000" w:themeColor="text1"/>
          <w:szCs w:val="21"/>
          <w:highlight w:val="none"/>
          <w14:textFill>
            <w14:solidFill>
              <w14:schemeClr w14:val="tx1"/>
            </w14:solidFill>
          </w14:textFill>
        </w:rPr>
      </w:pPr>
      <w:bookmarkStart w:id="13" w:name="_Toc351203492"/>
      <w:r>
        <w:rPr>
          <w:rFonts w:ascii="宋体" w:hAnsi="宋体"/>
          <w:bCs/>
          <w:color w:val="000000" w:themeColor="text1"/>
          <w:szCs w:val="21"/>
          <w:highlight w:val="none"/>
          <w14:textFill>
            <w14:solidFill>
              <w14:schemeClr w14:val="tx1"/>
            </w14:solidFill>
          </w14:textFill>
        </w:rPr>
        <w:t xml:space="preserve"> </w:t>
      </w:r>
      <w:r>
        <w:rPr>
          <w:rFonts w:ascii="宋体" w:hAnsi="宋体"/>
          <w:b/>
          <w:color w:val="000000" w:themeColor="text1"/>
          <w:szCs w:val="21"/>
          <w:highlight w:val="none"/>
          <w14:textFill>
            <w14:solidFill>
              <w14:schemeClr w14:val="tx1"/>
            </w14:solidFill>
          </w14:textFill>
        </w:rPr>
        <w:t>十二、合同生效</w:t>
      </w:r>
      <w:bookmarkEnd w:id="13"/>
    </w:p>
    <w:p w14:paraId="651C17F1">
      <w:pPr>
        <w:spacing w:line="360" w:lineRule="auto"/>
        <w:ind w:firstLine="420" w:firstLineChars="200"/>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t>本合同自</w:t>
      </w:r>
      <w:r>
        <w:rPr>
          <w:rFonts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u w:val="single"/>
          <w14:textFill>
            <w14:solidFill>
              <w14:schemeClr w14:val="tx1"/>
            </w14:solidFill>
          </w14:textFill>
        </w:rPr>
        <w:t>双方签字盖章后</w:t>
      </w:r>
      <w:r>
        <w:rPr>
          <w:rFonts w:ascii="宋体" w:hAnsi="宋体"/>
          <w:bCs/>
          <w:color w:val="000000" w:themeColor="text1"/>
          <w:szCs w:val="21"/>
          <w:highlight w:val="none"/>
          <w:u w:val="single"/>
          <w14:textFill>
            <w14:solidFill>
              <w14:schemeClr w14:val="tx1"/>
            </w14:solidFill>
          </w14:textFill>
        </w:rPr>
        <w:t xml:space="preserve">    </w:t>
      </w:r>
      <w:r>
        <w:rPr>
          <w:rFonts w:ascii="宋体" w:hAnsi="宋体"/>
          <w:bCs/>
          <w:color w:val="000000" w:themeColor="text1"/>
          <w:szCs w:val="21"/>
          <w:highlight w:val="none"/>
          <w14:textFill>
            <w14:solidFill>
              <w14:schemeClr w14:val="tx1"/>
            </w14:solidFill>
          </w14:textFill>
        </w:rPr>
        <w:t>生效。</w:t>
      </w:r>
    </w:p>
    <w:p w14:paraId="5D7DBA8A">
      <w:pPr>
        <w:spacing w:line="360" w:lineRule="auto"/>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t xml:space="preserve">  </w:t>
      </w:r>
      <w:r>
        <w:rPr>
          <w:rFonts w:ascii="宋体" w:hAnsi="宋体"/>
          <w:b/>
          <w:color w:val="000000" w:themeColor="text1"/>
          <w:szCs w:val="21"/>
          <w:highlight w:val="none"/>
          <w14:textFill>
            <w14:solidFill>
              <w14:schemeClr w14:val="tx1"/>
            </w14:solidFill>
          </w14:textFill>
        </w:rPr>
        <w:t xml:space="preserve">  </w:t>
      </w:r>
      <w:bookmarkStart w:id="14" w:name="_Toc351203493"/>
      <w:r>
        <w:rPr>
          <w:rFonts w:ascii="宋体" w:hAnsi="宋体"/>
          <w:b/>
          <w:color w:val="000000" w:themeColor="text1"/>
          <w:szCs w:val="21"/>
          <w:highlight w:val="none"/>
          <w14:textFill>
            <w14:solidFill>
              <w14:schemeClr w14:val="tx1"/>
            </w14:solidFill>
          </w14:textFill>
        </w:rPr>
        <w:t>十三、合同份数</w:t>
      </w:r>
      <w:bookmarkEnd w:id="14"/>
    </w:p>
    <w:p w14:paraId="4D681D22">
      <w:pPr>
        <w:spacing w:line="360" w:lineRule="auto"/>
        <w:ind w:left="210" w:leftChars="100" w:firstLine="210" w:firstLineChars="100"/>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t>本合同一式</w:t>
      </w:r>
      <w:r>
        <w:rPr>
          <w:rFonts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u w:val="single"/>
          <w14:textFill>
            <w14:solidFill>
              <w14:schemeClr w14:val="tx1"/>
            </w14:solidFill>
          </w14:textFill>
        </w:rPr>
        <w:t>拾</w:t>
      </w:r>
      <w:r>
        <w:rPr>
          <w:rFonts w:ascii="宋体" w:hAnsi="宋体"/>
          <w:bCs/>
          <w:color w:val="000000" w:themeColor="text1"/>
          <w:szCs w:val="21"/>
          <w:highlight w:val="none"/>
          <w:u w:val="single"/>
          <w14:textFill>
            <w14:solidFill>
              <w14:schemeClr w14:val="tx1"/>
            </w14:solidFill>
          </w14:textFill>
        </w:rPr>
        <w:t xml:space="preserve"> </w:t>
      </w:r>
      <w:r>
        <w:rPr>
          <w:rFonts w:ascii="宋体" w:hAnsi="宋体"/>
          <w:bCs/>
          <w:color w:val="000000" w:themeColor="text1"/>
          <w:szCs w:val="21"/>
          <w:highlight w:val="none"/>
          <w14:textFill>
            <w14:solidFill>
              <w14:schemeClr w14:val="tx1"/>
            </w14:solidFill>
          </w14:textFill>
        </w:rPr>
        <w:t>份，均具有同等法律效力，发包人执</w:t>
      </w:r>
      <w:r>
        <w:rPr>
          <w:rFonts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u w:val="single"/>
          <w14:textFill>
            <w14:solidFill>
              <w14:schemeClr w14:val="tx1"/>
            </w14:solidFill>
          </w14:textFill>
        </w:rPr>
        <w:t>肆</w:t>
      </w:r>
      <w:r>
        <w:rPr>
          <w:rFonts w:ascii="宋体" w:hAnsi="宋体"/>
          <w:bCs/>
          <w:color w:val="000000" w:themeColor="text1"/>
          <w:szCs w:val="21"/>
          <w:highlight w:val="none"/>
          <w:u w:val="single"/>
          <w14:textFill>
            <w14:solidFill>
              <w14:schemeClr w14:val="tx1"/>
            </w14:solidFill>
          </w14:textFill>
        </w:rPr>
        <w:t xml:space="preserve"> </w:t>
      </w:r>
      <w:r>
        <w:rPr>
          <w:rFonts w:ascii="宋体" w:hAnsi="宋体"/>
          <w:bCs/>
          <w:color w:val="000000" w:themeColor="text1"/>
          <w:szCs w:val="21"/>
          <w:highlight w:val="none"/>
          <w14:textFill>
            <w14:solidFill>
              <w14:schemeClr w14:val="tx1"/>
            </w14:solidFill>
          </w14:textFill>
        </w:rPr>
        <w:t>份，承包人执</w:t>
      </w:r>
      <w:r>
        <w:rPr>
          <w:rFonts w:hint="eastAsia" w:ascii="宋体" w:hAnsi="宋体"/>
          <w:bCs/>
          <w:color w:val="000000" w:themeColor="text1"/>
          <w:szCs w:val="21"/>
          <w:highlight w:val="none"/>
          <w:u w:val="single"/>
          <w14:textFill>
            <w14:solidFill>
              <w14:schemeClr w14:val="tx1"/>
            </w14:solidFill>
          </w14:textFill>
        </w:rPr>
        <w:t xml:space="preserve"> 肆 </w:t>
      </w:r>
      <w:r>
        <w:rPr>
          <w:rFonts w:ascii="宋体" w:hAnsi="宋体"/>
          <w:bCs/>
          <w:color w:val="000000" w:themeColor="text1"/>
          <w:szCs w:val="21"/>
          <w:highlight w:val="none"/>
          <w14:textFill>
            <w14:solidFill>
              <w14:schemeClr w14:val="tx1"/>
            </w14:solidFill>
          </w14:textFill>
        </w:rPr>
        <w:t>份</w:t>
      </w:r>
      <w:r>
        <w:rPr>
          <w:rFonts w:hint="eastAsia" w:ascii="宋体" w:hAnsi="宋体"/>
          <w:bCs/>
          <w:color w:val="000000" w:themeColor="text1"/>
          <w:szCs w:val="21"/>
          <w:highlight w:val="none"/>
          <w14:textFill>
            <w14:solidFill>
              <w14:schemeClr w14:val="tx1"/>
            </w14:solidFill>
          </w14:textFill>
        </w:rPr>
        <w:t>，见证方执</w:t>
      </w:r>
      <w:r>
        <w:rPr>
          <w:rFonts w:hint="eastAsia" w:ascii="宋体" w:hAnsi="宋体"/>
          <w:bCs/>
          <w:color w:val="000000" w:themeColor="text1"/>
          <w:szCs w:val="21"/>
          <w:highlight w:val="none"/>
          <w:u w:val="single"/>
          <w14:textFill>
            <w14:solidFill>
              <w14:schemeClr w14:val="tx1"/>
            </w14:solidFill>
          </w14:textFill>
        </w:rPr>
        <w:t xml:space="preserve"> 贰</w:t>
      </w:r>
      <w:r>
        <w:rPr>
          <w:rFonts w:hint="eastAsia" w:ascii="宋体" w:hAnsi="宋体"/>
          <w:bCs/>
          <w:color w:val="000000" w:themeColor="text1"/>
          <w:szCs w:val="21"/>
          <w:highlight w:val="none"/>
          <w14:textFill>
            <w14:solidFill>
              <w14:schemeClr w14:val="tx1"/>
            </w14:solidFill>
          </w14:textFill>
        </w:rPr>
        <w:t>份</w:t>
      </w:r>
      <w:r>
        <w:rPr>
          <w:rFonts w:ascii="宋体" w:hAnsi="宋体"/>
          <w:bCs/>
          <w:color w:val="000000" w:themeColor="text1"/>
          <w:szCs w:val="21"/>
          <w:highlight w:val="none"/>
          <w14:textFill>
            <w14:solidFill>
              <w14:schemeClr w14:val="tx1"/>
            </w14:solidFill>
          </w14:textFill>
        </w:rPr>
        <w:t>。</w:t>
      </w:r>
    </w:p>
    <w:p w14:paraId="38A06B0C">
      <w:pPr>
        <w:spacing w:before="240" w:beforeLines="100" w:line="360" w:lineRule="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发包人</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(公章)</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承包人</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(公章)</w:t>
      </w:r>
      <w:r>
        <w:rPr>
          <w:rFonts w:hint="eastAsia" w:ascii="宋体" w:hAnsi="宋体"/>
          <w:color w:val="000000" w:themeColor="text1"/>
          <w:szCs w:val="21"/>
          <w:highlight w:val="none"/>
          <w14:textFill>
            <w14:solidFill>
              <w14:schemeClr w14:val="tx1"/>
            </w14:solidFill>
          </w14:textFill>
        </w:rPr>
        <w:t xml:space="preserve">                </w:t>
      </w:r>
    </w:p>
    <w:p w14:paraId="1D065768">
      <w:pPr>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法定代表人或其委托代理人：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法定代表人或其委托代理人：</w:t>
      </w:r>
    </w:p>
    <w:p w14:paraId="3BC546B1">
      <w:pPr>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（签字）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（签字）</w:t>
      </w:r>
    </w:p>
    <w:p w14:paraId="06D20D95">
      <w:pPr>
        <w:tabs>
          <w:tab w:val="left" w:pos="4410"/>
        </w:tabs>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组织机构代码：</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组织机构代码：</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p>
    <w:p w14:paraId="489365B9">
      <w:pPr>
        <w:spacing w:line="360" w:lineRule="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地  址：</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地  址：</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p>
    <w:p w14:paraId="532E96AE">
      <w:pPr>
        <w:spacing w:line="360" w:lineRule="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邮政编码：</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邮政编码：</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p>
    <w:p w14:paraId="1C3A3459">
      <w:pPr>
        <w:spacing w:line="360" w:lineRule="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法定代表人：</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法定代表人：</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p>
    <w:p w14:paraId="472E3CBA">
      <w:pPr>
        <w:spacing w:line="360" w:lineRule="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委托代理人：</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委托代理人：</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p>
    <w:p w14:paraId="27052E93">
      <w:pPr>
        <w:spacing w:line="360" w:lineRule="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电  话：</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电  话：</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p>
    <w:p w14:paraId="3143564D">
      <w:pPr>
        <w:spacing w:line="360" w:lineRule="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传  真：</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传  真：</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p>
    <w:p w14:paraId="70F81765">
      <w:pPr>
        <w:spacing w:line="360" w:lineRule="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电子信箱：</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电子信箱：</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p>
    <w:p w14:paraId="581146B6">
      <w:pPr>
        <w:spacing w:line="360" w:lineRule="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开户银行：</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开户银行：</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p>
    <w:p w14:paraId="7DE441FE">
      <w:pPr>
        <w:spacing w:line="360" w:lineRule="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账  号：</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账</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号：</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p>
    <w:p w14:paraId="35250219">
      <w:pPr>
        <w:spacing w:line="360" w:lineRule="exact"/>
        <w:jc w:val="left"/>
        <w:rPr>
          <w:rFonts w:ascii="黑体" w:hAnsi="黑体" w:eastAsia="黑体" w:cs="宋体"/>
          <w:bCs/>
          <w:color w:val="000000" w:themeColor="text1"/>
          <w:kern w:val="0"/>
          <w:szCs w:val="21"/>
          <w:highlight w:val="none"/>
          <w14:textFill>
            <w14:solidFill>
              <w14:schemeClr w14:val="tx1"/>
            </w14:solidFill>
          </w14:textFill>
        </w:rPr>
      </w:pPr>
    </w:p>
    <w:p w14:paraId="137413FE">
      <w:pPr>
        <w:widowControl/>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br w:type="page"/>
      </w:r>
    </w:p>
    <w:p w14:paraId="1BB3CCC8">
      <w:pPr>
        <w:jc w:val="center"/>
        <w:rPr>
          <w:rFonts w:ascii="Times New Roman" w:hAnsi="Times New Roman"/>
          <w:b/>
          <w:color w:val="000000" w:themeColor="text1"/>
          <w:sz w:val="30"/>
          <w:szCs w:val="30"/>
          <w:highlight w:val="none"/>
          <w14:textFill>
            <w14:solidFill>
              <w14:schemeClr w14:val="tx1"/>
            </w14:solidFill>
          </w14:textFill>
        </w:rPr>
      </w:pPr>
      <w:r>
        <w:rPr>
          <w:rFonts w:hint="eastAsia" w:ascii="Times New Roman" w:hAnsi="Times New Roman"/>
          <w:b/>
          <w:color w:val="000000" w:themeColor="text1"/>
          <w:sz w:val="30"/>
          <w:szCs w:val="30"/>
          <w:highlight w:val="none"/>
          <w14:textFill>
            <w14:solidFill>
              <w14:schemeClr w14:val="tx1"/>
            </w14:solidFill>
          </w14:textFill>
        </w:rPr>
        <w:t>第二部分  通用合同条款</w:t>
      </w:r>
    </w:p>
    <w:p w14:paraId="645E149E">
      <w:pPr>
        <w:spacing w:line="360" w:lineRule="exact"/>
        <w:ind w:firstLine="200"/>
        <w:jc w:val="center"/>
        <w:rPr>
          <w:rFonts w:ascii="宋体" w:hAnsi="宋体"/>
          <w:color w:val="000000" w:themeColor="text1"/>
          <w:kern w:val="0"/>
          <w:szCs w:val="21"/>
          <w:highlight w:val="none"/>
          <w14:textFill>
            <w14:solidFill>
              <w14:schemeClr w14:val="tx1"/>
            </w14:solidFill>
          </w14:textFill>
        </w:rPr>
      </w:pPr>
    </w:p>
    <w:p w14:paraId="5AB5A90C">
      <w:pPr>
        <w:tabs>
          <w:tab w:val="left" w:pos="0"/>
        </w:tabs>
        <w:adjustRightInd w:val="0"/>
        <w:snapToGrid w:val="0"/>
        <w:spacing w:line="360" w:lineRule="auto"/>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详见</w:t>
      </w:r>
      <w:r>
        <w:rPr>
          <w:rFonts w:ascii="宋体" w:hAnsi="宋体"/>
          <w:color w:val="000000" w:themeColor="text1"/>
          <w:kern w:val="0"/>
          <w:szCs w:val="21"/>
          <w:highlight w:val="none"/>
          <w14:textFill>
            <w14:solidFill>
              <w14:schemeClr w14:val="tx1"/>
            </w14:solidFill>
          </w14:textFill>
        </w:rPr>
        <w:t>（GF—201</w:t>
      </w:r>
      <w:r>
        <w:rPr>
          <w:rFonts w:hint="eastAsia" w:ascii="宋体" w:hAnsi="宋体"/>
          <w:color w:val="000000" w:themeColor="text1"/>
          <w:kern w:val="0"/>
          <w:szCs w:val="21"/>
          <w:highlight w:val="none"/>
          <w14:textFill>
            <w14:solidFill>
              <w14:schemeClr w14:val="tx1"/>
            </w14:solidFill>
          </w14:textFill>
        </w:rPr>
        <w:t>7</w:t>
      </w:r>
      <w:r>
        <w:rPr>
          <w:rFonts w:ascii="宋体" w:hAnsi="宋体"/>
          <w:color w:val="000000" w:themeColor="text1"/>
          <w:kern w:val="0"/>
          <w:szCs w:val="21"/>
          <w:highlight w:val="none"/>
          <w14:textFill>
            <w14:solidFill>
              <w14:schemeClr w14:val="tx1"/>
            </w14:solidFill>
          </w14:textFill>
        </w:rPr>
        <w:t>—</w:t>
      </w:r>
      <w:r>
        <w:rPr>
          <w:rFonts w:hint="eastAsia" w:ascii="宋体" w:hAnsi="宋体"/>
          <w:color w:val="000000" w:themeColor="text1"/>
          <w:kern w:val="0"/>
          <w:szCs w:val="21"/>
          <w:highlight w:val="none"/>
          <w14:textFill>
            <w14:solidFill>
              <w14:schemeClr w14:val="tx1"/>
            </w14:solidFill>
          </w14:textFill>
        </w:rPr>
        <w:t>0201）建设工程施工合同示范文本通用合同条款</w:t>
      </w:r>
    </w:p>
    <w:p w14:paraId="62AD3168">
      <w:pPr>
        <w:widowControl/>
        <w:jc w:val="left"/>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3893C4E3">
      <w:pPr>
        <w:jc w:val="center"/>
        <w:rPr>
          <w:rFonts w:ascii="Times New Roman" w:hAnsi="Times New Roman" w:eastAsia="宋体" w:cs="Times New Roman"/>
          <w:b/>
          <w:color w:val="000000" w:themeColor="text1"/>
          <w:sz w:val="30"/>
          <w:szCs w:val="30"/>
          <w:highlight w:val="none"/>
          <w14:textFill>
            <w14:solidFill>
              <w14:schemeClr w14:val="tx1"/>
            </w14:solidFill>
          </w14:textFill>
        </w:rPr>
      </w:pPr>
      <w:r>
        <w:rPr>
          <w:rFonts w:hint="eastAsia" w:ascii="Times New Roman" w:hAnsi="Times New Roman" w:eastAsia="宋体" w:cs="Times New Roman"/>
          <w:b/>
          <w:color w:val="000000" w:themeColor="text1"/>
          <w:sz w:val="30"/>
          <w:szCs w:val="30"/>
          <w:highlight w:val="none"/>
          <w14:textFill>
            <w14:solidFill>
              <w14:schemeClr w14:val="tx1"/>
            </w14:solidFill>
          </w14:textFill>
        </w:rPr>
        <w:t>第三部分</w:t>
      </w:r>
      <w:r>
        <w:rPr>
          <w:rFonts w:ascii="Times New Roman" w:hAnsi="Times New Roman" w:eastAsia="宋体" w:cs="Times New Roman"/>
          <w:b/>
          <w:color w:val="000000" w:themeColor="text1"/>
          <w:sz w:val="30"/>
          <w:szCs w:val="30"/>
          <w:highlight w:val="none"/>
          <w14:textFill>
            <w14:solidFill>
              <w14:schemeClr w14:val="tx1"/>
            </w14:solidFill>
          </w14:textFill>
        </w:rPr>
        <w:t xml:space="preserve">  </w:t>
      </w:r>
      <w:r>
        <w:rPr>
          <w:rFonts w:hint="eastAsia" w:ascii="Times New Roman" w:hAnsi="Times New Roman" w:eastAsia="宋体" w:cs="Times New Roman"/>
          <w:b/>
          <w:color w:val="000000" w:themeColor="text1"/>
          <w:sz w:val="30"/>
          <w:szCs w:val="30"/>
          <w:highlight w:val="none"/>
          <w14:textFill>
            <w14:solidFill>
              <w14:schemeClr w14:val="tx1"/>
            </w14:solidFill>
          </w14:textFill>
        </w:rPr>
        <w:t>专用合同条款</w:t>
      </w:r>
    </w:p>
    <w:p w14:paraId="174A3745">
      <w:pPr>
        <w:pStyle w:val="5"/>
        <w:ind w:firstLine="0" w:firstLineChars="0"/>
        <w:rPr>
          <w:b/>
          <w:color w:val="000000" w:themeColor="text1"/>
          <w:highlight w:val="none"/>
          <w14:textFill>
            <w14:solidFill>
              <w14:schemeClr w14:val="tx1"/>
            </w14:solidFill>
          </w14:textFill>
        </w:rPr>
      </w:pPr>
      <w:r>
        <w:rPr>
          <w:rFonts w:hint="eastAsia"/>
          <w:b/>
          <w:color w:val="000000" w:themeColor="text1"/>
          <w:highlight w:val="none"/>
          <w14:textFill>
            <w14:solidFill>
              <w14:schemeClr w14:val="tx1"/>
            </w14:solidFill>
          </w14:textFill>
        </w:rPr>
        <w:t>1. 一般约定</w:t>
      </w:r>
    </w:p>
    <w:p w14:paraId="40AD0925">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1.1 词语定义</w:t>
      </w:r>
    </w:p>
    <w:p w14:paraId="6963DA28">
      <w:pPr>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1.1.1合同</w:t>
      </w:r>
    </w:p>
    <w:p w14:paraId="782F706F">
      <w:pPr>
        <w:spacing w:line="360" w:lineRule="auto"/>
        <w:ind w:firstLine="411" w:firstLineChars="196"/>
        <w:rPr>
          <w:color w:val="000000" w:themeColor="text1"/>
          <w:szCs w:val="21"/>
          <w:highlight w:val="none"/>
          <w:u w:val="singl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1.1.1.10其他合同文件包括：</w:t>
      </w:r>
      <w:r>
        <w:rPr>
          <w:rFonts w:hint="eastAsia"/>
          <w:color w:val="000000" w:themeColor="text1"/>
          <w:szCs w:val="21"/>
          <w:highlight w:val="none"/>
          <w:u w:val="single"/>
          <w14:textFill>
            <w14:solidFill>
              <w14:schemeClr w14:val="tx1"/>
            </w14:solidFill>
          </w14:textFill>
        </w:rPr>
        <w:t>1、合同签署及履行中承发包双方之间澄清、洽商、变更等明确双方权利义务的纪要、补充协议2、本合同协议书3、中标通知书4、本合同专用条款5、本合同通用条款6、施工采购文件及附件7、标准、规范及有关技术文件 8、施工投标文件及附件9、工程量清单10、工程报价单或预算书。</w:t>
      </w:r>
    </w:p>
    <w:p w14:paraId="4509764C">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1.1.3 工程和设备</w:t>
      </w:r>
    </w:p>
    <w:p w14:paraId="6616F66F">
      <w:pPr>
        <w:spacing w:line="360" w:lineRule="auto"/>
        <w:ind w:firstLine="420" w:firstLineChars="200"/>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1.1.3.7 作为施工现场组成部分的其他场所包括：</w:t>
      </w:r>
      <w:r>
        <w:rPr>
          <w:rFonts w:hint="eastAsia" w:ascii="宋体" w:hAnsi="宋体"/>
          <w:color w:val="000000" w:themeColor="text1"/>
          <w:szCs w:val="21"/>
          <w:highlight w:val="none"/>
          <w:u w:val="single"/>
          <w14:textFill>
            <w14:solidFill>
              <w14:schemeClr w14:val="tx1"/>
            </w14:solidFill>
          </w14:textFill>
        </w:rPr>
        <w:t xml:space="preserve">     无    </w:t>
      </w:r>
      <w:r>
        <w:rPr>
          <w:rFonts w:ascii="宋体" w:hAnsi="宋体"/>
          <w:color w:val="000000" w:themeColor="text1"/>
          <w:szCs w:val="21"/>
          <w:highlight w:val="none"/>
          <w14:textFill>
            <w14:solidFill>
              <w14:schemeClr w14:val="tx1"/>
            </w14:solidFill>
          </w14:textFill>
        </w:rPr>
        <w:t>。</w:t>
      </w:r>
    </w:p>
    <w:p w14:paraId="34A84774">
      <w:pPr>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1.1.3.9 永久占地包括：</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用地红线内</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kern w:val="0"/>
          <w:szCs w:val="21"/>
          <w:highlight w:val="none"/>
          <w14:textFill>
            <w14:solidFill>
              <w14:schemeClr w14:val="tx1"/>
            </w14:solidFill>
          </w14:textFill>
        </w:rPr>
        <w:t>。</w:t>
      </w:r>
    </w:p>
    <w:p w14:paraId="78674D8A">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1.1.3.10 临时占地包括：</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施工过程中的临时用房，生产用地等</w:t>
      </w:r>
      <w:r>
        <w:rPr>
          <w:rFonts w:ascii="宋体" w:hAnsi="宋体"/>
          <w:color w:val="000000" w:themeColor="text1"/>
          <w:kern w:val="0"/>
          <w:szCs w:val="21"/>
          <w:highlight w:val="none"/>
          <w14:textFill>
            <w14:solidFill>
              <w14:schemeClr w14:val="tx1"/>
            </w14:solidFill>
          </w14:textFill>
        </w:rPr>
        <w:t>。</w:t>
      </w:r>
    </w:p>
    <w:p w14:paraId="118250FF">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 xml:space="preserve">1.3法律 </w:t>
      </w:r>
    </w:p>
    <w:p w14:paraId="76F84F33">
      <w:pPr>
        <w:autoSpaceDE w:val="0"/>
        <w:autoSpaceDN w:val="0"/>
        <w:adjustRightInd w:val="0"/>
        <w:spacing w:line="360" w:lineRule="auto"/>
        <w:ind w:firstLine="594" w:firstLineChars="283"/>
        <w:jc w:val="left"/>
        <w:rPr>
          <w:rFonts w:ascii="宋体" w:hAnsi="宋体" w:cs="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适用于合同的其他规范性文件：</w:t>
      </w:r>
      <w:r>
        <w:rPr>
          <w:rFonts w:hint="eastAsia" w:ascii="宋体" w:hAnsi="宋体" w:cs="宋体"/>
          <w:color w:val="000000" w:themeColor="text1"/>
          <w:szCs w:val="21"/>
          <w:highlight w:val="none"/>
          <w:u w:val="single"/>
          <w14:textFill>
            <w14:solidFill>
              <w14:schemeClr w14:val="tx1"/>
            </w14:solidFill>
          </w14:textFill>
        </w:rPr>
        <w:t>《中华人民共和国建筑法</w:t>
      </w:r>
      <w:r>
        <w:rPr>
          <w:rFonts w:hint="eastAsia" w:ascii="宋体" w:hAnsi="宋体" w:cs="宋体"/>
          <w:color w:val="000000" w:themeColor="text1"/>
          <w:szCs w:val="21"/>
          <w:highlight w:val="none"/>
          <w:u w:val="single"/>
          <w:lang w:eastAsia="zh-CN"/>
          <w14:textFill>
            <w14:solidFill>
              <w14:schemeClr w14:val="tx1"/>
            </w14:solidFill>
          </w14:textFill>
        </w:rPr>
        <w:t>》《</w:t>
      </w:r>
      <w:r>
        <w:rPr>
          <w:rFonts w:hint="eastAsia" w:ascii="宋体" w:hAnsi="宋体" w:cs="宋体"/>
          <w:color w:val="000000" w:themeColor="text1"/>
          <w:szCs w:val="21"/>
          <w:highlight w:val="none"/>
          <w:u w:val="single"/>
          <w14:textFill>
            <w14:solidFill>
              <w14:schemeClr w14:val="tx1"/>
            </w14:solidFill>
          </w14:textFill>
        </w:rPr>
        <w:t>中华人民共和国民法典</w:t>
      </w:r>
      <w:r>
        <w:rPr>
          <w:rFonts w:hint="eastAsia" w:ascii="宋体" w:hAnsi="宋体" w:cs="宋体"/>
          <w:color w:val="000000" w:themeColor="text1"/>
          <w:szCs w:val="21"/>
          <w:highlight w:val="none"/>
          <w:u w:val="single"/>
          <w:lang w:eastAsia="zh-CN"/>
          <w14:textFill>
            <w14:solidFill>
              <w14:schemeClr w14:val="tx1"/>
            </w14:solidFill>
          </w14:textFill>
        </w:rPr>
        <w:t>》《</w:t>
      </w:r>
      <w:r>
        <w:rPr>
          <w:rFonts w:hint="eastAsia" w:ascii="宋体" w:hAnsi="宋体" w:cs="宋体"/>
          <w:color w:val="000000" w:themeColor="text1"/>
          <w:szCs w:val="21"/>
          <w:highlight w:val="none"/>
          <w:u w:val="single"/>
          <w14:textFill>
            <w14:solidFill>
              <w14:schemeClr w14:val="tx1"/>
            </w14:solidFill>
          </w14:textFill>
        </w:rPr>
        <w:t>中华人民共和国招标投标法》、国务院《建设工程质量管理条例》、国务院《建设工程安全生产管理条例》、建设部《房屋建筑工程和市政基础设施工程竣工验收备案管理暂行办法》、建设部《房屋建筑工程质量保修办法</w:t>
      </w:r>
      <w:r>
        <w:rPr>
          <w:rFonts w:hint="eastAsia" w:ascii="宋体" w:hAnsi="宋体" w:cs="宋体"/>
          <w:color w:val="000000" w:themeColor="text1"/>
          <w:szCs w:val="21"/>
          <w:highlight w:val="none"/>
          <w:u w:val="single"/>
          <w:lang w:eastAsia="zh-CN"/>
          <w14:textFill>
            <w14:solidFill>
              <w14:schemeClr w14:val="tx1"/>
            </w14:solidFill>
          </w14:textFill>
        </w:rPr>
        <w:t>》《</w:t>
      </w:r>
      <w:r>
        <w:rPr>
          <w:rFonts w:hint="eastAsia" w:ascii="宋体" w:hAnsi="宋体" w:cs="宋体"/>
          <w:color w:val="000000" w:themeColor="text1"/>
          <w:szCs w:val="21"/>
          <w:highlight w:val="none"/>
          <w:u w:val="single"/>
          <w14:textFill>
            <w14:solidFill>
              <w14:schemeClr w14:val="tx1"/>
            </w14:solidFill>
          </w14:textFill>
        </w:rPr>
        <w:t>陕西省建设工程工程量清单计价规则》（2009版）、中华人民共和国《工程建设标准强制性条文》、现行《建筑工程质量验收统一标准</w:t>
      </w:r>
      <w:r>
        <w:rPr>
          <w:rFonts w:hint="eastAsia" w:ascii="宋体" w:hAnsi="宋体" w:cs="宋体"/>
          <w:color w:val="000000" w:themeColor="text1"/>
          <w:szCs w:val="21"/>
          <w:highlight w:val="none"/>
          <w:u w:val="single"/>
          <w:lang w:eastAsia="zh-CN"/>
          <w14:textFill>
            <w14:solidFill>
              <w14:schemeClr w14:val="tx1"/>
            </w14:solidFill>
          </w14:textFill>
        </w:rPr>
        <w:t>》《</w:t>
      </w:r>
      <w:r>
        <w:rPr>
          <w:rFonts w:hint="eastAsia" w:ascii="宋体" w:hAnsi="宋体" w:cs="宋体"/>
          <w:color w:val="000000" w:themeColor="text1"/>
          <w:szCs w:val="21"/>
          <w:highlight w:val="none"/>
          <w:u w:val="single"/>
          <w14:textFill>
            <w14:solidFill>
              <w14:schemeClr w14:val="tx1"/>
            </w14:solidFill>
          </w14:textFill>
        </w:rPr>
        <w:t>建筑工程施工及验收规范》等国家、部门及地方现行及后续的有关</w:t>
      </w:r>
      <w:r>
        <w:rPr>
          <w:rFonts w:hint="eastAsia" w:ascii="宋体" w:hAnsi="宋体" w:cs="宋体"/>
          <w:color w:val="000000" w:themeColor="text1"/>
          <w:szCs w:val="21"/>
          <w:highlight w:val="none"/>
          <w:u w:val="single"/>
          <w:lang w:eastAsia="zh-CN"/>
          <w14:textFill>
            <w14:solidFill>
              <w14:schemeClr w14:val="tx1"/>
            </w14:solidFill>
          </w14:textFill>
        </w:rPr>
        <w:t>法律法规</w:t>
      </w:r>
      <w:r>
        <w:rPr>
          <w:rFonts w:hint="eastAsia" w:ascii="宋体" w:hAnsi="宋体" w:cs="宋体"/>
          <w:color w:val="000000" w:themeColor="text1"/>
          <w:szCs w:val="21"/>
          <w:highlight w:val="none"/>
          <w:u w:val="single"/>
          <w14:textFill>
            <w14:solidFill>
              <w14:schemeClr w14:val="tx1"/>
            </w14:solidFill>
          </w14:textFill>
        </w:rPr>
        <w:t>、规章、规范性文件等</w:t>
      </w:r>
      <w:r>
        <w:rPr>
          <w:rFonts w:ascii="宋体" w:hAnsi="宋体"/>
          <w:color w:val="000000" w:themeColor="text1"/>
          <w:szCs w:val="21"/>
          <w:highlight w:val="none"/>
          <w14:textFill>
            <w14:solidFill>
              <w14:schemeClr w14:val="tx1"/>
            </w14:solidFill>
          </w14:textFill>
        </w:rPr>
        <w:t>。</w:t>
      </w:r>
    </w:p>
    <w:p w14:paraId="41773E69">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1.4 标准和规范</w:t>
      </w:r>
    </w:p>
    <w:p w14:paraId="4DE38CB9">
      <w:pPr>
        <w:spacing w:line="360" w:lineRule="auto"/>
        <w:ind w:firstLine="594" w:firstLineChars="283"/>
        <w:rPr>
          <w:rFonts w:ascii="MingLiU_HKSCS" w:hAnsi="MingLiU_HKSCS" w:eastAsia="MingLiU_HKSCS" w:cs="MingLiU_HKSCS"/>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1.4.1适用于工程的标准规范包括：</w:t>
      </w:r>
      <w:r>
        <w:rPr>
          <w:rFonts w:hint="eastAsia" w:ascii="MingLiU_HKSCS" w:hAnsi="MingLiU_HKSCS" w:cs="MingLiU_HKSCS"/>
          <w:color w:val="000000" w:themeColor="text1"/>
          <w:szCs w:val="21"/>
          <w:highlight w:val="none"/>
          <w:u w:val="single"/>
          <w14:textFill>
            <w14:solidFill>
              <w14:schemeClr w14:val="tx1"/>
            </w14:solidFill>
          </w14:textFill>
        </w:rPr>
        <w:t>执行国家现行的技术标准、施工验收规范及质量检验评定标准，以及材料、设备所涉及的现行国家、省、市或行业的工程建设标准、规范的要求</w:t>
      </w:r>
      <w:r>
        <w:rPr>
          <w:rFonts w:ascii="宋体" w:hAnsi="宋体"/>
          <w:color w:val="000000" w:themeColor="text1"/>
          <w:szCs w:val="21"/>
          <w:highlight w:val="none"/>
          <w14:textFill>
            <w14:solidFill>
              <w14:schemeClr w14:val="tx1"/>
            </w14:solidFill>
          </w14:textFill>
        </w:rPr>
        <w:t>。</w:t>
      </w:r>
    </w:p>
    <w:p w14:paraId="3847A51C">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1.5 合同文件的优先顺序</w:t>
      </w:r>
    </w:p>
    <w:p w14:paraId="3F4A7249">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合同文件组成及优先顺序为：</w:t>
      </w:r>
      <w:r>
        <w:rPr>
          <w:rFonts w:hint="eastAsia" w:ascii="宋体" w:hAnsi="宋体"/>
          <w:color w:val="000000" w:themeColor="text1"/>
          <w:szCs w:val="21"/>
          <w:highlight w:val="none"/>
          <w:u w:val="single"/>
          <w14:textFill>
            <w14:solidFill>
              <w14:schemeClr w14:val="tx1"/>
            </w14:solidFill>
          </w14:textFill>
        </w:rPr>
        <w:t>1、合同签署及履行中承发包双方之间澄清、洽商、变更等明确双方权利义务的纪要、补充协议；2、本合同协议书；3、中标通知书；4、本合同专用条款及其附件；5、本合同通用条款；6、施工采购文件及附件；7、标准、规范及有关技术文件；8、施工投标文件及附件；9、工程量清单；10、工程报价单或预算书，以及其他合同文件</w:t>
      </w:r>
      <w:r>
        <w:rPr>
          <w:rFonts w:ascii="宋体" w:hAnsi="宋体"/>
          <w:color w:val="000000" w:themeColor="text1"/>
          <w:szCs w:val="21"/>
          <w:highlight w:val="none"/>
          <w14:textFill>
            <w14:solidFill>
              <w14:schemeClr w14:val="tx1"/>
            </w14:solidFill>
          </w14:textFill>
        </w:rPr>
        <w:t>。</w:t>
      </w:r>
    </w:p>
    <w:p w14:paraId="4AFDF0B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1.6 图纸和承包人文件</w:t>
      </w:r>
      <w:r>
        <w:rPr>
          <w:rFonts w:ascii="宋体" w:hAnsi="宋体"/>
          <w:color w:val="000000" w:themeColor="text1"/>
          <w:szCs w:val="21"/>
          <w:highlight w:val="none"/>
          <w14:textFill>
            <w14:solidFill>
              <w14:schemeClr w14:val="tx1"/>
            </w14:solidFill>
          </w14:textFill>
        </w:rPr>
        <w:tab/>
      </w:r>
    </w:p>
    <w:p w14:paraId="64EABAAB">
      <w:pPr>
        <w:spacing w:line="360" w:lineRule="auto"/>
        <w:ind w:firstLine="420" w:firstLineChars="200"/>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1.6.1 图纸的提供</w:t>
      </w:r>
      <w:r>
        <w:rPr>
          <w:rFonts w:hint="eastAsia" w:ascii="宋体" w:hAnsi="宋体"/>
          <w:color w:val="000000" w:themeColor="text1"/>
          <w:szCs w:val="21"/>
          <w:highlight w:val="none"/>
          <w14:textFill>
            <w14:solidFill>
              <w14:schemeClr w14:val="tx1"/>
            </w14:solidFill>
          </w14:textFill>
        </w:rPr>
        <w:t>：</w:t>
      </w:r>
    </w:p>
    <w:p w14:paraId="3F20AEFC">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发包人向承包人提供图纸的期限：</w:t>
      </w:r>
      <w:r>
        <w:rPr>
          <w:rFonts w:hint="eastAsia" w:ascii="宋体" w:hAnsi="宋体"/>
          <w:color w:val="000000" w:themeColor="text1"/>
          <w:szCs w:val="21"/>
          <w:highlight w:val="none"/>
          <w:u w:val="single"/>
          <w14:textFill>
            <w14:solidFill>
              <w14:schemeClr w14:val="tx1"/>
            </w14:solidFill>
          </w14:textFill>
        </w:rPr>
        <w:t>在合同签订后5日内；</w:t>
      </w:r>
    </w:p>
    <w:p w14:paraId="056A17EB">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发包人向承包人提供图纸的数量：</w:t>
      </w:r>
      <w:r>
        <w:rPr>
          <w:rFonts w:hint="eastAsia" w:ascii="宋体" w:hAnsi="宋体"/>
          <w:color w:val="000000" w:themeColor="text1"/>
          <w:szCs w:val="21"/>
          <w:highlight w:val="none"/>
          <w:u w:val="single"/>
          <w14:textFill>
            <w14:solidFill>
              <w14:schemeClr w14:val="tx1"/>
            </w14:solidFill>
          </w14:textFill>
        </w:rPr>
        <w:t>四套，标准图由承包人自备；</w:t>
      </w:r>
    </w:p>
    <w:p w14:paraId="149F6305">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发包人向承包人提供图纸的内容：</w:t>
      </w:r>
      <w:r>
        <w:rPr>
          <w:rFonts w:hint="eastAsia" w:ascii="宋体" w:hAnsi="宋体"/>
          <w:color w:val="000000" w:themeColor="text1"/>
          <w:szCs w:val="21"/>
          <w:highlight w:val="none"/>
          <w:u w:val="single"/>
          <w14:textFill>
            <w14:solidFill>
              <w14:schemeClr w14:val="tx1"/>
            </w14:solidFill>
          </w14:textFill>
        </w:rPr>
        <w:t>施工图（包括水、电、暖、结构、建筑等）。</w:t>
      </w:r>
    </w:p>
    <w:p w14:paraId="14437F6C">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1.6.4 承包人文件</w:t>
      </w:r>
    </w:p>
    <w:p w14:paraId="34B7471C">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需要由承包人提供的文件，包括：</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施工组织设计（施工方案）、工期进度计划、安全文明施工措施、人员安排等 </w:t>
      </w:r>
      <w:r>
        <w:rPr>
          <w:rFonts w:ascii="宋体" w:hAnsi="宋体"/>
          <w:color w:val="000000" w:themeColor="text1"/>
          <w:szCs w:val="21"/>
          <w:highlight w:val="none"/>
          <w14:textFill>
            <w14:solidFill>
              <w14:schemeClr w14:val="tx1"/>
            </w14:solidFill>
          </w14:textFill>
        </w:rPr>
        <w:t>；</w:t>
      </w:r>
    </w:p>
    <w:p w14:paraId="68185C99">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承包人提供的文件的期限为：</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color w:val="000000" w:themeColor="text1"/>
          <w:szCs w:val="21"/>
          <w:highlight w:val="none"/>
          <w:u w:val="single"/>
          <w14:textFill>
            <w14:solidFill>
              <w14:schemeClr w14:val="tx1"/>
            </w14:solidFill>
          </w14:textFill>
        </w:rPr>
        <w:t xml:space="preserve">开工前5日内 </w:t>
      </w:r>
      <w:r>
        <w:rPr>
          <w:rFonts w:ascii="宋体" w:hAnsi="宋体"/>
          <w:color w:val="000000" w:themeColor="text1"/>
          <w:szCs w:val="21"/>
          <w:highlight w:val="none"/>
          <w14:textFill>
            <w14:solidFill>
              <w14:schemeClr w14:val="tx1"/>
            </w14:solidFill>
          </w14:textFill>
        </w:rPr>
        <w:t>；</w:t>
      </w:r>
    </w:p>
    <w:p w14:paraId="2B33025F">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承包人提供的文件的数量为：</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不少于5份  </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0736EC0C">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承包人提供的文件的形式为：</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纸质文件及电子文档 </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20642C1C">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发包人</w:t>
      </w:r>
      <w:r>
        <w:rPr>
          <w:rFonts w:hint="eastAsia" w:ascii="宋体" w:hAnsi="宋体"/>
          <w:color w:val="000000" w:themeColor="text1"/>
          <w:szCs w:val="21"/>
          <w:highlight w:val="none"/>
          <w14:textFill>
            <w14:solidFill>
              <w14:schemeClr w14:val="tx1"/>
            </w14:solidFill>
          </w14:textFill>
        </w:rPr>
        <w:t>审批</w:t>
      </w:r>
      <w:r>
        <w:rPr>
          <w:rFonts w:ascii="宋体" w:hAnsi="宋体"/>
          <w:color w:val="000000" w:themeColor="text1"/>
          <w:szCs w:val="21"/>
          <w:highlight w:val="none"/>
          <w14:textFill>
            <w14:solidFill>
              <w14:schemeClr w14:val="tx1"/>
            </w14:solidFill>
          </w14:textFill>
        </w:rPr>
        <w:t>承包人文件的期限：</w:t>
      </w:r>
      <w:r>
        <w:rPr>
          <w:rFonts w:hint="eastAsia" w:ascii="MingLiU_HKSCS" w:hAnsi="MingLiU_HKSCS" w:cs="MingLiU_HKSCS"/>
          <w:color w:val="000000" w:themeColor="text1"/>
          <w:szCs w:val="21"/>
          <w:highlight w:val="none"/>
          <w:u w:val="single"/>
          <w14:textFill>
            <w14:solidFill>
              <w14:schemeClr w14:val="tx1"/>
            </w14:solidFill>
          </w14:textFill>
        </w:rPr>
        <w:t xml:space="preserve"> 接到</w:t>
      </w:r>
      <w:r>
        <w:rPr>
          <w:rFonts w:hint="eastAsia" w:ascii="宋体" w:hAnsi="宋体"/>
          <w:color w:val="000000" w:themeColor="text1"/>
          <w:szCs w:val="21"/>
          <w:highlight w:val="none"/>
          <w:u w:val="single"/>
          <w14:textFill>
            <w14:solidFill>
              <w14:schemeClr w14:val="tx1"/>
            </w14:solidFill>
          </w14:textFill>
        </w:rPr>
        <w:t>承包人文件后7日内</w:t>
      </w:r>
      <w:r>
        <w:rPr>
          <w:rFonts w:ascii="宋体" w:hAnsi="宋体"/>
          <w:color w:val="000000" w:themeColor="text1"/>
          <w:szCs w:val="21"/>
          <w:highlight w:val="none"/>
          <w14:textFill>
            <w14:solidFill>
              <w14:schemeClr w14:val="tx1"/>
            </w14:solidFill>
          </w14:textFill>
        </w:rPr>
        <w:t>。</w:t>
      </w:r>
    </w:p>
    <w:p w14:paraId="15892203">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1.6.5 现场图纸准备</w:t>
      </w:r>
    </w:p>
    <w:p w14:paraId="519364BC">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关于现场图纸准备的约定：</w:t>
      </w:r>
      <w:r>
        <w:rPr>
          <w:rFonts w:hint="eastAsia" w:ascii="宋体" w:hAnsi="宋体"/>
          <w:color w:val="000000" w:themeColor="text1"/>
          <w:szCs w:val="21"/>
          <w:highlight w:val="none"/>
          <w:u w:val="single"/>
          <w14:textFill>
            <w14:solidFill>
              <w14:schemeClr w14:val="tx1"/>
            </w14:solidFill>
          </w14:textFill>
        </w:rPr>
        <w:t>执行通用条款。</w:t>
      </w:r>
    </w:p>
    <w:p w14:paraId="014A3DBC">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1.7 联络</w:t>
      </w:r>
    </w:p>
    <w:p w14:paraId="3537EDB2">
      <w:pPr>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1.7.1发包人和承包人应当在</w:t>
      </w:r>
      <w:r>
        <w:rPr>
          <w:rFonts w:hint="eastAsia" w:ascii="宋体" w:hAnsi="宋体"/>
          <w:color w:val="000000" w:themeColor="text1"/>
          <w:szCs w:val="21"/>
          <w:highlight w:val="none"/>
          <w:u w:val="single"/>
          <w14:textFill>
            <w14:solidFill>
              <w14:schemeClr w14:val="tx1"/>
            </w14:solidFill>
          </w14:textFill>
        </w:rPr>
        <w:t>7</w:t>
      </w:r>
      <w:r>
        <w:rPr>
          <w:rFonts w:ascii="宋体" w:hAnsi="宋体"/>
          <w:color w:val="000000" w:themeColor="text1"/>
          <w:kern w:val="0"/>
          <w:szCs w:val="21"/>
          <w:highlight w:val="none"/>
          <w14:textFill>
            <w14:solidFill>
              <w14:schemeClr w14:val="tx1"/>
            </w14:solidFill>
          </w14:textFill>
        </w:rPr>
        <w:t>天内将与合同有关的通知、批准、证明、证书、指示、指令、要求、请求、同意、意见、确定和决定等书面函件送达对方当事人</w:t>
      </w:r>
      <w:r>
        <w:rPr>
          <w:rFonts w:hint="eastAsia" w:ascii="宋体" w:hAnsi="宋体"/>
          <w:color w:val="000000" w:themeColor="text1"/>
          <w:kern w:val="0"/>
          <w:szCs w:val="21"/>
          <w:highlight w:val="none"/>
          <w14:textFill>
            <w14:solidFill>
              <w14:schemeClr w14:val="tx1"/>
            </w14:solidFill>
          </w14:textFill>
        </w:rPr>
        <w:t>。</w:t>
      </w:r>
    </w:p>
    <w:p w14:paraId="36D686B1">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1.10 交通运输</w:t>
      </w:r>
    </w:p>
    <w:p w14:paraId="0062ADEF">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bookmarkStart w:id="15" w:name="_Toc312677986"/>
      <w:bookmarkStart w:id="16" w:name="_Toc318581155"/>
      <w:bookmarkStart w:id="17" w:name="_Toc303539100"/>
      <w:bookmarkStart w:id="18" w:name="_Toc304295521"/>
      <w:bookmarkStart w:id="19" w:name="_Toc300934943"/>
      <w:r>
        <w:rPr>
          <w:rFonts w:ascii="宋体" w:hAnsi="宋体"/>
          <w:color w:val="000000" w:themeColor="text1"/>
          <w:szCs w:val="21"/>
          <w:highlight w:val="none"/>
          <w14:textFill>
            <w14:solidFill>
              <w14:schemeClr w14:val="tx1"/>
            </w14:solidFill>
          </w14:textFill>
        </w:rPr>
        <w:t>.10.1 出入现场的权利</w:t>
      </w:r>
    </w:p>
    <w:p w14:paraId="7B56C597">
      <w:pPr>
        <w:spacing w:line="360" w:lineRule="auto"/>
        <w:ind w:left="596" w:leftChars="284"/>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关于出入现场的权利的约定：</w:t>
      </w:r>
      <w:r>
        <w:rPr>
          <w:rFonts w:hint="eastAsia" w:ascii="宋体" w:hAnsi="宋体" w:cs="MingLiU_HKSCS"/>
          <w:color w:val="000000" w:themeColor="text1"/>
          <w:szCs w:val="21"/>
          <w:highlight w:val="none"/>
          <w:u w:val="single"/>
          <w14:textFill>
            <w14:solidFill>
              <w14:schemeClr w14:val="tx1"/>
            </w14:solidFill>
          </w14:textFill>
        </w:rPr>
        <w:t>承包人负责现场管理，发包人遵守承包人现场管理的规定</w:t>
      </w:r>
      <w:r>
        <w:rPr>
          <w:rFonts w:ascii="宋体" w:hAnsi="宋体"/>
          <w:color w:val="000000" w:themeColor="text1"/>
          <w:szCs w:val="21"/>
          <w:highlight w:val="none"/>
          <w14:textFill>
            <w14:solidFill>
              <w14:schemeClr w14:val="tx1"/>
            </w14:solidFill>
          </w14:textFill>
        </w:rPr>
        <w:t>。</w:t>
      </w:r>
    </w:p>
    <w:bookmarkEnd w:id="15"/>
    <w:bookmarkEnd w:id="16"/>
    <w:bookmarkEnd w:id="17"/>
    <w:bookmarkEnd w:id="18"/>
    <w:bookmarkEnd w:id="19"/>
    <w:p w14:paraId="61AE61CE">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bookmarkStart w:id="20" w:name="_Toc304295522"/>
      <w:bookmarkStart w:id="21" w:name="_Toc312677987"/>
      <w:bookmarkStart w:id="22" w:name="_Toc300934944"/>
      <w:bookmarkStart w:id="23" w:name="_Toc318581156"/>
      <w:bookmarkStart w:id="24" w:name="_Toc303539101"/>
      <w:r>
        <w:rPr>
          <w:rFonts w:ascii="宋体" w:hAnsi="宋体"/>
          <w:color w:val="000000" w:themeColor="text1"/>
          <w:szCs w:val="21"/>
          <w:highlight w:val="none"/>
          <w14:textFill>
            <w14:solidFill>
              <w14:schemeClr w14:val="tx1"/>
            </w14:solidFill>
          </w14:textFill>
        </w:rPr>
        <w:t>.10.3 场内交通</w:t>
      </w:r>
    </w:p>
    <w:p w14:paraId="774C08E4">
      <w:pPr>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关于场外交通和场内交通的边界的约定：</w:t>
      </w:r>
      <w:r>
        <w:rPr>
          <w:rFonts w:hint="eastAsia" w:ascii="宋体" w:hAnsi="宋体"/>
          <w:color w:val="000000" w:themeColor="text1"/>
          <w:szCs w:val="21"/>
          <w:highlight w:val="none"/>
          <w:u w:val="single"/>
          <w14:textFill>
            <w14:solidFill>
              <w14:schemeClr w14:val="tx1"/>
            </w14:solidFill>
          </w14:textFill>
        </w:rPr>
        <w:t>施工围墙以外为场外交通，施工围墙以内为场内交通，但施工大门至公共道路处为场内交通</w:t>
      </w:r>
      <w:r>
        <w:rPr>
          <w:rFonts w:ascii="宋体" w:hAnsi="宋体"/>
          <w:color w:val="000000" w:themeColor="text1"/>
          <w:szCs w:val="21"/>
          <w:highlight w:val="none"/>
          <w14:textFill>
            <w14:solidFill>
              <w14:schemeClr w14:val="tx1"/>
            </w14:solidFill>
          </w14:textFill>
        </w:rPr>
        <w:t>。</w:t>
      </w:r>
    </w:p>
    <w:p w14:paraId="5BB4325E">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关于发包人向承包人免费提供满足工程施工需要的场内道路和交通设施的约定：</w:t>
      </w:r>
      <w:r>
        <w:rPr>
          <w:rFonts w:hint="eastAsia" w:ascii="宋体" w:hAnsi="宋体"/>
          <w:color w:val="000000" w:themeColor="text1"/>
          <w:szCs w:val="21"/>
          <w:highlight w:val="none"/>
          <w:u w:val="single"/>
          <w14:textFill>
            <w14:solidFill>
              <w14:schemeClr w14:val="tx1"/>
            </w14:solidFill>
          </w14:textFill>
        </w:rPr>
        <w:t>场内道路的施工及交通设施由承包人负责，场外道路设施由发包人承担</w:t>
      </w:r>
      <w:r>
        <w:rPr>
          <w:rFonts w:ascii="宋体" w:hAnsi="宋体"/>
          <w:color w:val="000000" w:themeColor="text1"/>
          <w:szCs w:val="21"/>
          <w:highlight w:val="none"/>
          <w:u w:val="single"/>
          <w14:textFill>
            <w14:solidFill>
              <w14:schemeClr w14:val="tx1"/>
            </w14:solidFill>
          </w14:textFill>
        </w:rPr>
        <w:t>。</w:t>
      </w:r>
      <w:bookmarkEnd w:id="20"/>
      <w:bookmarkEnd w:id="21"/>
      <w:bookmarkEnd w:id="22"/>
      <w:bookmarkEnd w:id="23"/>
      <w:bookmarkEnd w:id="24"/>
      <w:bookmarkStart w:id="25" w:name="_Toc318581157"/>
    </w:p>
    <w:p w14:paraId="3521F2DB">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1.10.4超大件和超重件的运输</w:t>
      </w:r>
    </w:p>
    <w:p w14:paraId="21B06080">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运输超大件或超重件所需的道路和桥梁临时加固改造费用和其他有关费用由</w:t>
      </w:r>
      <w:r>
        <w:rPr>
          <w:rFonts w:hint="eastAsia" w:ascii="宋体" w:hAnsi="宋体"/>
          <w:color w:val="000000" w:themeColor="text1"/>
          <w:szCs w:val="21"/>
          <w:highlight w:val="none"/>
          <w:u w:val="single"/>
          <w14:textFill>
            <w14:solidFill>
              <w14:schemeClr w14:val="tx1"/>
            </w14:solidFill>
          </w14:textFill>
        </w:rPr>
        <w:t>承包人</w:t>
      </w:r>
      <w:r>
        <w:rPr>
          <w:rFonts w:ascii="宋体" w:hAnsi="宋体"/>
          <w:color w:val="000000" w:themeColor="text1"/>
          <w:szCs w:val="21"/>
          <w:highlight w:val="none"/>
          <w14:textFill>
            <w14:solidFill>
              <w14:schemeClr w14:val="tx1"/>
            </w14:solidFill>
          </w14:textFill>
        </w:rPr>
        <w:t>承担。</w:t>
      </w:r>
    </w:p>
    <w:bookmarkEnd w:id="25"/>
    <w:p w14:paraId="1CA8E86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1.11 知识产权</w:t>
      </w:r>
    </w:p>
    <w:p w14:paraId="71A3888C">
      <w:pPr>
        <w:spacing w:line="360" w:lineRule="auto"/>
        <w:ind w:firstLine="420" w:firstLineChars="200"/>
        <w:rPr>
          <w:rFonts w:ascii="宋体" w:hAnsi="宋体" w:cs="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1.11.1关于发包人提供给承包人的图纸、发包人为实施工程自行编制或委托编制的技术规范以及反映发包人关于合同要求或其他类似性质的文件的著作权的归属：</w:t>
      </w:r>
      <w:r>
        <w:rPr>
          <w:rFonts w:hint="eastAsia" w:ascii="宋体" w:hAnsi="宋体"/>
          <w:color w:val="000000" w:themeColor="text1"/>
          <w:szCs w:val="21"/>
          <w:highlight w:val="none"/>
          <w:u w:val="single"/>
          <w14:textFill>
            <w14:solidFill>
              <w14:schemeClr w14:val="tx1"/>
            </w14:solidFill>
          </w14:textFill>
        </w:rPr>
        <w:t>发包人</w:t>
      </w:r>
      <w:r>
        <w:rPr>
          <w:rFonts w:ascii="宋体" w:hAnsi="宋体"/>
          <w:color w:val="000000" w:themeColor="text1"/>
          <w:szCs w:val="21"/>
          <w:highlight w:val="none"/>
          <w14:textFill>
            <w14:solidFill>
              <w14:schemeClr w14:val="tx1"/>
            </w14:solidFill>
          </w14:textFill>
        </w:rPr>
        <w:t>。</w:t>
      </w:r>
    </w:p>
    <w:p w14:paraId="39914489">
      <w:pPr>
        <w:spacing w:line="360" w:lineRule="auto"/>
        <w:ind w:firstLine="594" w:firstLineChars="283"/>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关于发包人提供的上述文件的使用限制的要求：</w:t>
      </w:r>
      <w:r>
        <w:rPr>
          <w:rFonts w:hint="eastAsia" w:ascii="宋体" w:hAnsi="宋体"/>
          <w:color w:val="000000" w:themeColor="text1"/>
          <w:szCs w:val="21"/>
          <w:highlight w:val="none"/>
          <w:u w:val="single"/>
          <w14:textFill>
            <w14:solidFill>
              <w14:schemeClr w14:val="tx1"/>
            </w14:solidFill>
          </w14:textFill>
        </w:rPr>
        <w:t>承包人对上述文件复制应经发包人同意并记录，按受控文件要求进行管理，不得外传、外借。</w:t>
      </w:r>
    </w:p>
    <w:p w14:paraId="4714F857">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1.11.2 关于承包人为实施工程所编制文件的著作权的归属：</w:t>
      </w:r>
      <w:r>
        <w:rPr>
          <w:rFonts w:hint="eastAsia" w:ascii="宋体" w:hAnsi="宋体"/>
          <w:color w:val="000000" w:themeColor="text1"/>
          <w:szCs w:val="21"/>
          <w:highlight w:val="none"/>
          <w:u w:val="single"/>
          <w14:textFill>
            <w14:solidFill>
              <w14:schemeClr w14:val="tx1"/>
            </w14:solidFill>
          </w14:textFill>
        </w:rPr>
        <w:t>发包人</w:t>
      </w:r>
      <w:r>
        <w:rPr>
          <w:rFonts w:ascii="宋体" w:hAnsi="宋体"/>
          <w:color w:val="000000" w:themeColor="text1"/>
          <w:szCs w:val="21"/>
          <w:highlight w:val="none"/>
          <w14:textFill>
            <w14:solidFill>
              <w14:schemeClr w14:val="tx1"/>
            </w14:solidFill>
          </w14:textFill>
        </w:rPr>
        <w:t>。</w:t>
      </w:r>
    </w:p>
    <w:p w14:paraId="771C3069">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关于承包人提供的上述文件的使用限制的要求：</w:t>
      </w:r>
      <w:r>
        <w:rPr>
          <w:rFonts w:hint="eastAsia" w:ascii="宋体" w:hAnsi="宋体"/>
          <w:color w:val="000000" w:themeColor="text1"/>
          <w:szCs w:val="21"/>
          <w:highlight w:val="none"/>
          <w:u w:val="single"/>
          <w14:textFill>
            <w14:solidFill>
              <w14:schemeClr w14:val="tx1"/>
            </w14:solidFill>
          </w14:textFill>
        </w:rPr>
        <w:t>承包人对上述文件复制应经发包人同意并记录，按受控文件要求进行管理，不得外传、外借</w:t>
      </w:r>
      <w:r>
        <w:rPr>
          <w:rFonts w:ascii="宋体" w:hAnsi="宋体"/>
          <w:color w:val="000000" w:themeColor="text1"/>
          <w:szCs w:val="21"/>
          <w:highlight w:val="none"/>
          <w14:textFill>
            <w14:solidFill>
              <w14:schemeClr w14:val="tx1"/>
            </w14:solidFill>
          </w14:textFill>
        </w:rPr>
        <w:t>。</w:t>
      </w:r>
    </w:p>
    <w:p w14:paraId="01EB293C">
      <w:pPr>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1.11.4 承包人在施工过程中所采用的专利、专有技术、技术秘密的使用费的承担方式：</w:t>
      </w:r>
      <w:r>
        <w:rPr>
          <w:rFonts w:hint="eastAsia" w:ascii="MingLiU_HKSCS" w:hAnsi="MingLiU_HKSCS" w:cs="MingLiU_HKSCS"/>
          <w:color w:val="000000" w:themeColor="text1"/>
          <w:szCs w:val="21"/>
          <w:highlight w:val="none"/>
          <w:u w:val="single"/>
          <w14:textFill>
            <w14:solidFill>
              <w14:schemeClr w14:val="tx1"/>
            </w14:solidFill>
          </w14:textFill>
        </w:rPr>
        <w:t>承包人自行承担</w:t>
      </w:r>
      <w:r>
        <w:rPr>
          <w:rFonts w:ascii="宋体" w:hAnsi="宋体"/>
          <w:color w:val="000000" w:themeColor="text1"/>
          <w:kern w:val="0"/>
          <w:szCs w:val="21"/>
          <w:highlight w:val="none"/>
          <w14:textFill>
            <w14:solidFill>
              <w14:schemeClr w14:val="tx1"/>
            </w14:solidFill>
          </w14:textFill>
        </w:rPr>
        <w:t>。</w:t>
      </w:r>
    </w:p>
    <w:p w14:paraId="0CE7E9CC">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1.13工程量清单错误的修正</w:t>
      </w:r>
    </w:p>
    <w:p w14:paraId="04CAC3B8">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出现工程量清单错误时，是否调整合同价格：</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MingLiU_HKSCS" w:hAnsi="MingLiU_HKSCS" w:cs="MingLiU_HKSCS"/>
          <w:color w:val="000000" w:themeColor="text1"/>
          <w:szCs w:val="21"/>
          <w:highlight w:val="none"/>
          <w:u w:val="single"/>
          <w14:textFill>
            <w14:solidFill>
              <w14:schemeClr w14:val="tx1"/>
            </w14:solidFill>
          </w14:textFill>
        </w:rPr>
        <w:t>是</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olor w:val="000000" w:themeColor="text1"/>
          <w:kern w:val="0"/>
          <w:szCs w:val="21"/>
          <w:highlight w:val="none"/>
          <w14:textFill>
            <w14:solidFill>
              <w14:schemeClr w14:val="tx1"/>
            </w14:solidFill>
          </w14:textFill>
        </w:rPr>
        <w:t>。</w:t>
      </w:r>
    </w:p>
    <w:p w14:paraId="4A645B4A">
      <w:pPr>
        <w:spacing w:line="360" w:lineRule="auto"/>
        <w:ind w:firstLine="420" w:firstLineChars="200"/>
        <w:rPr>
          <w:rFonts w:ascii="宋体" w:hAnsi="宋体" w:cs="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允许调整合同价格的工程量偏差范围：</w:t>
      </w:r>
      <w:r>
        <w:rPr>
          <w:rFonts w:hint="eastAsia" w:ascii="宋体" w:hAnsi="宋体" w:cs="宋体"/>
          <w:color w:val="000000" w:themeColor="text1"/>
          <w:szCs w:val="21"/>
          <w:highlight w:val="none"/>
          <w:u w:val="single"/>
          <w14:textFill>
            <w14:solidFill>
              <w14:schemeClr w14:val="tx1"/>
            </w14:solidFill>
          </w14:textFill>
        </w:rPr>
        <w:t>工程量据实调整。</w:t>
      </w:r>
    </w:p>
    <w:p w14:paraId="5BE405F3">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u w:val="single"/>
          <w14:textFill>
            <w14:solidFill>
              <w14:schemeClr w14:val="tx1"/>
            </w14:solidFill>
          </w14:textFill>
        </w:rPr>
        <w:t>当实际验收的工程数量与招标所发清单工程数量有偏差时，超出合同约定范围部分按实调整价款，工程量偏差在15%以内时（含15%）综合单价不变，超过15%以外</w:t>
      </w:r>
      <w:r>
        <w:rPr>
          <w:rFonts w:hint="eastAsia" w:ascii="宋体" w:hAnsi="宋体"/>
          <w:color w:val="000000" w:themeColor="text1"/>
          <w:szCs w:val="21"/>
          <w:highlight w:val="none"/>
          <w:u w:val="single"/>
          <w:lang w:eastAsia="zh-CN"/>
          <w14:textFill>
            <w14:solidFill>
              <w14:schemeClr w14:val="tx1"/>
            </w14:solidFill>
          </w14:textFill>
        </w:rPr>
        <w:t>的数</w:t>
      </w:r>
      <w:r>
        <w:rPr>
          <w:rFonts w:hint="eastAsia" w:ascii="宋体" w:hAnsi="宋体"/>
          <w:color w:val="000000" w:themeColor="text1"/>
          <w:szCs w:val="21"/>
          <w:highlight w:val="none"/>
          <w:u w:val="single"/>
          <w14:textFill>
            <w14:solidFill>
              <w14:schemeClr w14:val="tx1"/>
            </w14:solidFill>
          </w14:textFill>
        </w:rPr>
        <w:t>量偏差综合单价双方协商，其综合单价由承包人提出、发包人确认。</w:t>
      </w:r>
    </w:p>
    <w:p w14:paraId="30F3605D">
      <w:pPr>
        <w:pStyle w:val="5"/>
        <w:ind w:firstLine="0" w:firstLineChars="0"/>
        <w:rPr>
          <w:b/>
          <w:color w:val="000000" w:themeColor="text1"/>
          <w:highlight w:val="none"/>
          <w14:textFill>
            <w14:solidFill>
              <w14:schemeClr w14:val="tx1"/>
            </w14:solidFill>
          </w14:textFill>
        </w:rPr>
      </w:pPr>
      <w:bookmarkStart w:id="26" w:name="_Toc351203634"/>
      <w:bookmarkStart w:id="27" w:name="_Toc7658"/>
      <w:bookmarkStart w:id="28" w:name="_Toc19823"/>
      <w:r>
        <w:rPr>
          <w:rFonts w:hint="eastAsia"/>
          <w:b/>
          <w:color w:val="000000" w:themeColor="text1"/>
          <w:highlight w:val="none"/>
          <w14:textFill>
            <w14:solidFill>
              <w14:schemeClr w14:val="tx1"/>
            </w14:solidFill>
          </w14:textFill>
        </w:rPr>
        <w:t>2</w:t>
      </w:r>
      <w:bookmarkStart w:id="29" w:name="_Toc296346658"/>
      <w:bookmarkStart w:id="30" w:name="_Toc296944496"/>
      <w:bookmarkStart w:id="31" w:name="_Toc297048343"/>
      <w:bookmarkStart w:id="32" w:name="_Toc296890985"/>
      <w:bookmarkStart w:id="33" w:name="_Toc296347156"/>
      <w:bookmarkStart w:id="34" w:name="_Toc296503157"/>
      <w:bookmarkStart w:id="35" w:name="_Toc292559362"/>
      <w:bookmarkStart w:id="36" w:name="_Toc296891197"/>
      <w:bookmarkStart w:id="37" w:name="_Toc292559867"/>
      <w:bookmarkStart w:id="38" w:name="_Toc297120457"/>
      <w:r>
        <w:rPr>
          <w:rFonts w:hint="eastAsia"/>
          <w:b/>
          <w:color w:val="000000" w:themeColor="text1"/>
          <w:highlight w:val="none"/>
          <w14:textFill>
            <w14:solidFill>
              <w14:schemeClr w14:val="tx1"/>
            </w14:solidFill>
          </w14:textFill>
        </w:rPr>
        <w:t>. 发包人</w:t>
      </w:r>
      <w:bookmarkEnd w:id="26"/>
      <w:bookmarkEnd w:id="27"/>
      <w:bookmarkEnd w:id="28"/>
    </w:p>
    <w:bookmarkEnd w:id="29"/>
    <w:bookmarkEnd w:id="30"/>
    <w:bookmarkEnd w:id="31"/>
    <w:bookmarkEnd w:id="32"/>
    <w:bookmarkEnd w:id="33"/>
    <w:bookmarkEnd w:id="34"/>
    <w:bookmarkEnd w:id="35"/>
    <w:bookmarkEnd w:id="36"/>
    <w:bookmarkEnd w:id="37"/>
    <w:bookmarkEnd w:id="38"/>
    <w:p w14:paraId="577846C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2.2 发包人代表</w:t>
      </w:r>
    </w:p>
    <w:p w14:paraId="0F3BF0EA">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发包人代表：</w:t>
      </w:r>
    </w:p>
    <w:p w14:paraId="46BD9E2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姓    名：</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57706384">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身份证号：</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03F68D6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职    务：</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2E430CAC">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联系电话：</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68091A08">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电子信箱：</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3D66FC4C">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通信地址：</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55BBC455">
      <w:pPr>
        <w:spacing w:line="360" w:lineRule="auto"/>
        <w:ind w:firstLine="420" w:firstLineChars="200"/>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发包人对发包人代表的授权范围如下：</w:t>
      </w:r>
      <w:r>
        <w:rPr>
          <w:rFonts w:hint="eastAsia" w:ascii="宋体" w:hAnsi="宋体"/>
          <w:color w:val="000000" w:themeColor="text1"/>
          <w:szCs w:val="21"/>
          <w:highlight w:val="none"/>
          <w:u w:val="single"/>
          <w14:textFill>
            <w14:solidFill>
              <w14:schemeClr w14:val="tx1"/>
            </w14:solidFill>
          </w14:textFill>
        </w:rPr>
        <w:t>负责施工全过程的安全、进度、质量及现场费用控制管理、协调现场各种关系等。</w:t>
      </w:r>
    </w:p>
    <w:p w14:paraId="01C85465">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2.4 施工现场、施工条件和基础资料的提供</w:t>
      </w:r>
    </w:p>
    <w:p w14:paraId="1B8EA69C">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2.4.1 提供施工现场</w:t>
      </w:r>
    </w:p>
    <w:p w14:paraId="6A9A9547">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关于发包人移交施工现场的期限要求：</w:t>
      </w:r>
      <w:r>
        <w:rPr>
          <w:rFonts w:hint="eastAsia" w:ascii="宋体" w:hAnsi="宋体"/>
          <w:color w:val="000000" w:themeColor="text1"/>
          <w:szCs w:val="21"/>
          <w:highlight w:val="none"/>
          <w:u w:val="single"/>
          <w14:textFill>
            <w14:solidFill>
              <w14:schemeClr w14:val="tx1"/>
            </w14:solidFill>
          </w14:textFill>
        </w:rPr>
        <w:t>按通用条款执行</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594AB79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2.4.2 提供施工条件</w:t>
      </w:r>
    </w:p>
    <w:p w14:paraId="70A9072F">
      <w:pPr>
        <w:spacing w:line="360" w:lineRule="auto"/>
        <w:ind w:firstLine="420" w:firstLineChars="200"/>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关于发包人应负责提供施工</w:t>
      </w:r>
      <w:r>
        <w:rPr>
          <w:rFonts w:hint="eastAsia" w:ascii="宋体" w:hAnsi="宋体"/>
          <w:color w:val="000000" w:themeColor="text1"/>
          <w:szCs w:val="21"/>
          <w:highlight w:val="none"/>
          <w14:textFill>
            <w14:solidFill>
              <w14:schemeClr w14:val="tx1"/>
            </w14:solidFill>
          </w14:textFill>
        </w:rPr>
        <w:t>所需要的条件，</w:t>
      </w:r>
      <w:r>
        <w:rPr>
          <w:rFonts w:ascii="宋体" w:hAnsi="宋体"/>
          <w:color w:val="000000" w:themeColor="text1"/>
          <w:szCs w:val="21"/>
          <w:highlight w:val="none"/>
          <w14:textFill>
            <w14:solidFill>
              <w14:schemeClr w14:val="tx1"/>
            </w14:solidFill>
          </w14:textFill>
        </w:rPr>
        <w:t>包括：</w:t>
      </w:r>
    </w:p>
    <w:p w14:paraId="44CA62F5">
      <w:pPr>
        <w:spacing w:line="360" w:lineRule="auto"/>
        <w:ind w:firstLine="420" w:firstLineChars="200"/>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u w:val="single"/>
          <w14:textFill>
            <w14:solidFill>
              <w14:schemeClr w14:val="tx1"/>
            </w14:solidFill>
          </w14:textFill>
        </w:rPr>
        <w:t>a、工程开工前，发包人负责将水准点与</w:t>
      </w:r>
      <w:r>
        <w:rPr>
          <w:rFonts w:hint="eastAsia" w:ascii="宋体" w:hAnsi="宋体"/>
          <w:color w:val="000000" w:themeColor="text1"/>
          <w:szCs w:val="21"/>
          <w:highlight w:val="none"/>
          <w:u w:val="single"/>
          <w:lang w:eastAsia="zh-CN"/>
          <w14:textFill>
            <w14:solidFill>
              <w14:schemeClr w14:val="tx1"/>
            </w14:solidFill>
          </w14:textFill>
        </w:rPr>
        <w:t>坐标</w:t>
      </w:r>
      <w:r>
        <w:rPr>
          <w:rFonts w:hint="eastAsia" w:ascii="宋体" w:hAnsi="宋体"/>
          <w:color w:val="000000" w:themeColor="text1"/>
          <w:szCs w:val="21"/>
          <w:highlight w:val="none"/>
          <w:u w:val="single"/>
          <w14:textFill>
            <w14:solidFill>
              <w14:schemeClr w14:val="tx1"/>
            </w14:solidFill>
          </w14:textFill>
        </w:rPr>
        <w:t>控制点以书面形式交给承包人，并进行现场交验，承包人正式放线后，由发包人负责及时请城建管理部门进行验线。</w:t>
      </w:r>
    </w:p>
    <w:p w14:paraId="6F50EC8E">
      <w:pPr>
        <w:spacing w:line="360" w:lineRule="auto"/>
        <w:ind w:firstLine="420" w:firstLineChars="200"/>
        <w:rPr>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u w:val="single"/>
          <w14:textFill>
            <w14:solidFill>
              <w14:schemeClr w14:val="tx1"/>
            </w14:solidFill>
          </w14:textFill>
        </w:rPr>
        <w:t>b、</w:t>
      </w:r>
      <w:r>
        <w:rPr>
          <w:rFonts w:ascii="宋体" w:hAnsi="宋体"/>
          <w:color w:val="000000" w:themeColor="text1"/>
          <w:szCs w:val="21"/>
          <w:highlight w:val="none"/>
          <w:u w:val="single"/>
          <w14:textFill>
            <w14:solidFill>
              <w14:schemeClr w14:val="tx1"/>
            </w14:solidFill>
          </w14:textFill>
        </w:rPr>
        <w:t>将施工所需的水电线路接至施工场地的时间、地点和供应要求：</w:t>
      </w:r>
      <w:r>
        <w:rPr>
          <w:rFonts w:hint="eastAsia"/>
          <w:color w:val="000000" w:themeColor="text1"/>
          <w:szCs w:val="21"/>
          <w:highlight w:val="none"/>
          <w:u w:val="single"/>
          <w14:textFill>
            <w14:solidFill>
              <w14:schemeClr w14:val="tx1"/>
            </w14:solidFill>
          </w14:textFill>
        </w:rPr>
        <w:t>承包人在发包人现场指定地点，将水电引至施工现场，并配备校验合格的水电表，表后水电线路由承包人安装并向发包人交纳水电费，水电费交纳标准按规定执行，开工前由承包人同发包人水电主管部门另行签订水电供应协议。</w:t>
      </w:r>
    </w:p>
    <w:p w14:paraId="6CF4D811">
      <w:pPr>
        <w:spacing w:line="360" w:lineRule="auto"/>
        <w:ind w:firstLine="420" w:firstLineChars="200"/>
        <w:rPr>
          <w:rFonts w:ascii="宋体" w:hAnsi="宋体"/>
          <w:color w:val="000000" w:themeColor="text1"/>
          <w:szCs w:val="21"/>
          <w:highlight w:val="none"/>
          <w:u w:val="single"/>
          <w14:textFill>
            <w14:solidFill>
              <w14:schemeClr w14:val="tx1"/>
            </w14:solidFill>
          </w14:textFill>
        </w:rPr>
      </w:pPr>
      <w:r>
        <w:rPr>
          <w:rFonts w:hint="eastAsia"/>
          <w:color w:val="000000" w:themeColor="text1"/>
          <w:szCs w:val="21"/>
          <w:highlight w:val="none"/>
          <w:u w:val="single"/>
          <w14:textFill>
            <w14:solidFill>
              <w14:schemeClr w14:val="tx1"/>
            </w14:solidFill>
          </w14:textFill>
        </w:rPr>
        <w:t>c、</w:t>
      </w:r>
      <w:r>
        <w:rPr>
          <w:color w:val="000000" w:themeColor="text1"/>
          <w:szCs w:val="21"/>
          <w:highlight w:val="none"/>
          <w:u w:val="single"/>
          <w14:textFill>
            <w14:solidFill>
              <w14:schemeClr w14:val="tx1"/>
            </w14:solidFill>
          </w14:textFill>
        </w:rPr>
        <w:t>通讯线路和设备由</w:t>
      </w:r>
      <w:r>
        <w:rPr>
          <w:rFonts w:hint="eastAsia"/>
          <w:color w:val="000000" w:themeColor="text1"/>
          <w:szCs w:val="21"/>
          <w:highlight w:val="none"/>
          <w:u w:val="single"/>
          <w14:textFill>
            <w14:solidFill>
              <w14:schemeClr w14:val="tx1"/>
            </w14:solidFill>
          </w14:textFill>
        </w:rPr>
        <w:t>承包人</w:t>
      </w:r>
      <w:r>
        <w:rPr>
          <w:color w:val="000000" w:themeColor="text1"/>
          <w:szCs w:val="21"/>
          <w:highlight w:val="none"/>
          <w:u w:val="single"/>
          <w14:textFill>
            <w14:solidFill>
              <w14:schemeClr w14:val="tx1"/>
            </w14:solidFill>
          </w14:textFill>
        </w:rPr>
        <w:t>自行解决并承担其费用。</w:t>
      </w:r>
    </w:p>
    <w:p w14:paraId="21533EB3">
      <w:pPr>
        <w:pStyle w:val="5"/>
        <w:ind w:firstLine="0" w:firstLineChars="0"/>
        <w:rPr>
          <w:b/>
          <w:color w:val="000000" w:themeColor="text1"/>
          <w:highlight w:val="none"/>
          <w14:textFill>
            <w14:solidFill>
              <w14:schemeClr w14:val="tx1"/>
            </w14:solidFill>
          </w14:textFill>
        </w:rPr>
      </w:pPr>
      <w:bookmarkStart w:id="39" w:name="_Toc6293"/>
      <w:bookmarkStart w:id="40" w:name="_Toc351203635"/>
      <w:bookmarkStart w:id="41" w:name="_Toc8492"/>
      <w:r>
        <w:rPr>
          <w:rFonts w:hint="eastAsia"/>
          <w:b/>
          <w:color w:val="000000" w:themeColor="text1"/>
          <w:highlight w:val="none"/>
          <w14:textFill>
            <w14:solidFill>
              <w14:schemeClr w14:val="tx1"/>
            </w14:solidFill>
          </w14:textFill>
        </w:rPr>
        <w:t>3</w:t>
      </w:r>
      <w:bookmarkStart w:id="42" w:name="_Toc296503158"/>
      <w:bookmarkStart w:id="43" w:name="_Toc296890986"/>
      <w:bookmarkStart w:id="44" w:name="_Toc296347157"/>
      <w:bookmarkStart w:id="45" w:name="_Toc297048344"/>
      <w:bookmarkStart w:id="46" w:name="_Toc296346659"/>
      <w:bookmarkStart w:id="47" w:name="_Toc292559868"/>
      <w:bookmarkStart w:id="48" w:name="_Toc292559363"/>
      <w:bookmarkStart w:id="49" w:name="_Toc296891198"/>
      <w:bookmarkStart w:id="50" w:name="_Toc297120458"/>
      <w:bookmarkStart w:id="51" w:name="_Toc296944497"/>
      <w:r>
        <w:rPr>
          <w:rFonts w:hint="eastAsia"/>
          <w:b/>
          <w:color w:val="000000" w:themeColor="text1"/>
          <w:highlight w:val="none"/>
          <w14:textFill>
            <w14:solidFill>
              <w14:schemeClr w14:val="tx1"/>
            </w14:solidFill>
          </w14:textFill>
        </w:rPr>
        <w:t>. 承包人</w:t>
      </w:r>
      <w:bookmarkEnd w:id="39"/>
      <w:bookmarkEnd w:id="40"/>
      <w:bookmarkEnd w:id="41"/>
    </w:p>
    <w:bookmarkEnd w:id="42"/>
    <w:bookmarkEnd w:id="43"/>
    <w:bookmarkEnd w:id="44"/>
    <w:bookmarkEnd w:id="45"/>
    <w:bookmarkEnd w:id="46"/>
    <w:bookmarkEnd w:id="47"/>
    <w:bookmarkEnd w:id="48"/>
    <w:bookmarkEnd w:id="49"/>
    <w:bookmarkEnd w:id="50"/>
    <w:bookmarkEnd w:id="51"/>
    <w:p w14:paraId="029DCFB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3.1 承包人的一般义务</w:t>
      </w:r>
    </w:p>
    <w:p w14:paraId="32BB5DB0">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（5）</w:t>
      </w:r>
      <w:r>
        <w:rPr>
          <w:rFonts w:ascii="宋体" w:hAnsi="宋体"/>
          <w:color w:val="000000" w:themeColor="text1"/>
          <w:szCs w:val="21"/>
          <w:highlight w:val="none"/>
          <w14:textFill>
            <w14:solidFill>
              <w14:schemeClr w14:val="tx1"/>
            </w14:solidFill>
          </w14:textFill>
        </w:rPr>
        <w:t>承包人提交的竣工资料的内容：</w:t>
      </w:r>
      <w:r>
        <w:rPr>
          <w:color w:val="000000" w:themeColor="text1"/>
          <w:szCs w:val="21"/>
          <w:highlight w:val="none"/>
          <w:u w:val="single"/>
          <w14:textFill>
            <w14:solidFill>
              <w14:schemeClr w14:val="tx1"/>
            </w14:solidFill>
          </w14:textFill>
        </w:rPr>
        <w:t>竣工验收后一个月内，</w:t>
      </w:r>
      <w:r>
        <w:rPr>
          <w:rFonts w:hint="eastAsia"/>
          <w:color w:val="000000" w:themeColor="text1"/>
          <w:szCs w:val="21"/>
          <w:highlight w:val="none"/>
          <w:u w:val="single"/>
          <w14:textFill>
            <w14:solidFill>
              <w14:schemeClr w14:val="tx1"/>
            </w14:solidFill>
          </w14:textFill>
        </w:rPr>
        <w:t>提交竣工图及完整资料文件。</w:t>
      </w:r>
    </w:p>
    <w:p w14:paraId="52DB3481">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承包人需要提交的竣工资料套数：</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不少于4套</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036E8524">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承包人提交的竣工资料的费用承担：</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承包人承担</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1E70198E">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承包人提交的竣工资料移交时间：</w:t>
      </w:r>
      <w:r>
        <w:rPr>
          <w:rFonts w:ascii="宋体" w:hAnsi="宋体"/>
          <w:color w:val="000000" w:themeColor="text1"/>
          <w:szCs w:val="21"/>
          <w:highlight w:val="none"/>
          <w:u w:val="single"/>
          <w14:textFill>
            <w14:solidFill>
              <w14:schemeClr w14:val="tx1"/>
            </w14:solidFill>
          </w14:textFill>
        </w:rPr>
        <w:t xml:space="preserve">   </w:t>
      </w:r>
      <w:r>
        <w:rPr>
          <w:color w:val="000000" w:themeColor="text1"/>
          <w:szCs w:val="21"/>
          <w:highlight w:val="none"/>
          <w:u w:val="single"/>
          <w14:textFill>
            <w14:solidFill>
              <w14:schemeClr w14:val="tx1"/>
            </w14:solidFill>
          </w14:textFill>
        </w:rPr>
        <w:t>竣工验收后一个月内</w:t>
      </w:r>
      <w:r>
        <w:rPr>
          <w:rFonts w:hint="eastAsia"/>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03B95491">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承包人提交的竣工资料形式要求：</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纸质文件及电子文档</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5C14CE0E">
      <w:pPr>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w:t>
      </w:r>
      <w:r>
        <w:rPr>
          <w:rFonts w:hint="eastAsia" w:ascii="宋体" w:hAnsi="宋体"/>
          <w:color w:val="000000" w:themeColor="text1"/>
          <w:kern w:val="0"/>
          <w:szCs w:val="21"/>
          <w:highlight w:val="none"/>
          <w14:textFill>
            <w14:solidFill>
              <w14:schemeClr w14:val="tx1"/>
            </w14:solidFill>
          </w14:textFill>
        </w:rPr>
        <w:t>10</w:t>
      </w:r>
      <w:r>
        <w:rPr>
          <w:rFonts w:ascii="宋体" w:hAnsi="宋体"/>
          <w:color w:val="000000" w:themeColor="text1"/>
          <w:kern w:val="0"/>
          <w:szCs w:val="21"/>
          <w:highlight w:val="none"/>
          <w14:textFill>
            <w14:solidFill>
              <w14:schemeClr w14:val="tx1"/>
            </w14:solidFill>
          </w14:textFill>
        </w:rPr>
        <w:t>）承包人应履行的其他义务：</w:t>
      </w:r>
    </w:p>
    <w:p w14:paraId="710B9FD5">
      <w:pPr>
        <w:spacing w:line="360" w:lineRule="auto"/>
        <w:ind w:firstLine="403" w:firstLineChars="192"/>
        <w:rPr>
          <w:color w:val="000000" w:themeColor="text1"/>
          <w:szCs w:val="21"/>
          <w:highlight w:val="none"/>
          <w:u w:val="single"/>
          <w14:textFill>
            <w14:solidFill>
              <w14:schemeClr w14:val="tx1"/>
            </w14:solidFill>
          </w14:textFill>
        </w:rPr>
      </w:pPr>
      <w:r>
        <w:rPr>
          <w:rFonts w:hint="eastAsia"/>
          <w:color w:val="000000" w:themeColor="text1"/>
          <w:szCs w:val="21"/>
          <w:highlight w:val="none"/>
          <w14:textFill>
            <w14:solidFill>
              <w14:schemeClr w14:val="tx1"/>
            </w14:solidFill>
          </w14:textFill>
        </w:rPr>
        <w:t>a、承担施工安全保卫工作及非夜间施工照明的责任和要求：</w:t>
      </w:r>
      <w:r>
        <w:rPr>
          <w:rFonts w:hint="eastAsia"/>
          <w:color w:val="000000" w:themeColor="text1"/>
          <w:szCs w:val="21"/>
          <w:highlight w:val="none"/>
          <w:u w:val="single"/>
          <w14:textFill>
            <w14:solidFill>
              <w14:schemeClr w14:val="tx1"/>
            </w14:solidFill>
          </w14:textFill>
        </w:rPr>
        <w:t>根据工程需要，提供和维修非夜间施工使用的照明、</w:t>
      </w:r>
      <w:r>
        <w:rPr>
          <w:rFonts w:hint="eastAsia"/>
          <w:color w:val="000000" w:themeColor="text1"/>
          <w:szCs w:val="21"/>
          <w:highlight w:val="none"/>
          <w:u w:val="single"/>
          <w:lang w:eastAsia="zh-CN"/>
          <w14:textFill>
            <w14:solidFill>
              <w14:schemeClr w14:val="tx1"/>
            </w14:solidFill>
          </w14:textFill>
        </w:rPr>
        <w:t>围栏</w:t>
      </w:r>
      <w:r>
        <w:rPr>
          <w:rFonts w:hint="eastAsia"/>
          <w:color w:val="000000" w:themeColor="text1"/>
          <w:szCs w:val="21"/>
          <w:highlight w:val="none"/>
          <w:u w:val="single"/>
          <w14:textFill>
            <w14:solidFill>
              <w14:schemeClr w14:val="tx1"/>
            </w14:solidFill>
          </w14:textFill>
        </w:rPr>
        <w:t xml:space="preserve">设计；负责施工现场安全保护。  </w:t>
      </w:r>
    </w:p>
    <w:p w14:paraId="7DC22C34">
      <w:pPr>
        <w:spacing w:line="360" w:lineRule="auto"/>
        <w:ind w:firstLine="403" w:firstLineChars="192"/>
        <w:rPr>
          <w:color w:val="000000" w:themeColor="text1"/>
          <w:szCs w:val="21"/>
          <w:highlight w:val="none"/>
          <w:u w:val="single"/>
          <w14:textFill>
            <w14:solidFill>
              <w14:schemeClr w14:val="tx1"/>
            </w14:solidFill>
          </w14:textFill>
        </w:rPr>
      </w:pPr>
      <w:r>
        <w:rPr>
          <w:rFonts w:hint="eastAsia"/>
          <w:color w:val="000000" w:themeColor="text1"/>
          <w:szCs w:val="21"/>
          <w:highlight w:val="none"/>
          <w14:textFill>
            <w14:solidFill>
              <w14:schemeClr w14:val="tx1"/>
            </w14:solidFill>
          </w14:textFill>
        </w:rPr>
        <w:t>b、需承包人办理的有关施工场地交通、环卫和施工噪音管理等手续：</w:t>
      </w:r>
      <w:r>
        <w:rPr>
          <w:rFonts w:hint="eastAsia"/>
          <w:color w:val="000000" w:themeColor="text1"/>
          <w:szCs w:val="21"/>
          <w:highlight w:val="none"/>
          <w:u w:val="single"/>
          <w14:textFill>
            <w14:solidFill>
              <w14:schemeClr w14:val="tx1"/>
            </w14:solidFill>
          </w14:textFill>
        </w:rPr>
        <w:t xml:space="preserve"> 施工场地交通、环卫和施工噪音管理在开工前完成。 </w:t>
      </w:r>
    </w:p>
    <w:p w14:paraId="0B3C3F21">
      <w:pPr>
        <w:spacing w:line="360" w:lineRule="auto"/>
        <w:ind w:firstLine="403" w:firstLineChars="192"/>
        <w:rPr>
          <w:color w:val="000000" w:themeColor="text1"/>
          <w:szCs w:val="21"/>
          <w:highlight w:val="none"/>
          <w:u w:val="single"/>
          <w14:textFill>
            <w14:solidFill>
              <w14:schemeClr w14:val="tx1"/>
            </w14:solidFill>
          </w14:textFill>
        </w:rPr>
      </w:pPr>
      <w:r>
        <w:rPr>
          <w:rFonts w:hint="eastAsia"/>
          <w:color w:val="000000" w:themeColor="text1"/>
          <w:szCs w:val="21"/>
          <w:highlight w:val="none"/>
          <w14:textFill>
            <w14:solidFill>
              <w14:schemeClr w14:val="tx1"/>
            </w14:solidFill>
          </w14:textFill>
        </w:rPr>
        <w:t>c、已完工程成品保护的特殊要求及费用承担：</w:t>
      </w:r>
      <w:r>
        <w:rPr>
          <w:rFonts w:hint="eastAsia"/>
          <w:color w:val="000000" w:themeColor="text1"/>
          <w:szCs w:val="21"/>
          <w:highlight w:val="none"/>
          <w:u w:val="single"/>
          <w14:textFill>
            <w14:solidFill>
              <w14:schemeClr w14:val="tx1"/>
            </w14:solidFill>
          </w14:textFill>
        </w:rPr>
        <w:t>已完成工程未正式向发包人移交之前，承包人应当按照专用条款约定负责对已</w:t>
      </w:r>
      <w:r>
        <w:rPr>
          <w:rFonts w:hint="eastAsia"/>
          <w:color w:val="000000" w:themeColor="text1"/>
          <w:szCs w:val="21"/>
          <w:highlight w:val="none"/>
          <w:u w:val="single"/>
          <w:lang w:eastAsia="zh-CN"/>
          <w14:textFill>
            <w14:solidFill>
              <w14:schemeClr w14:val="tx1"/>
            </w14:solidFill>
          </w14:textFill>
        </w:rPr>
        <w:t>完成</w:t>
      </w:r>
      <w:r>
        <w:rPr>
          <w:rFonts w:hint="eastAsia"/>
          <w:color w:val="000000" w:themeColor="text1"/>
          <w:szCs w:val="21"/>
          <w:highlight w:val="none"/>
          <w:u w:val="single"/>
          <w14:textFill>
            <w14:solidFill>
              <w14:schemeClr w14:val="tx1"/>
            </w14:solidFill>
          </w14:textFill>
        </w:rPr>
        <w:t xml:space="preserve">工程的保护工作（包括发包人对工程某些特殊部位和部分设施、设备保护提出的特殊要求），费用由承包人承担。在此期间发生的损坏由承包人自费负责予以修复。 </w:t>
      </w:r>
    </w:p>
    <w:p w14:paraId="111D1AB8">
      <w:pPr>
        <w:spacing w:line="360" w:lineRule="auto"/>
        <w:ind w:firstLine="403" w:firstLineChars="192"/>
        <w:rPr>
          <w:color w:val="000000" w:themeColor="text1"/>
          <w:szCs w:val="21"/>
          <w:highlight w:val="none"/>
          <w:u w:val="single"/>
          <w14:textFill>
            <w14:solidFill>
              <w14:schemeClr w14:val="tx1"/>
            </w14:solidFill>
          </w14:textFill>
        </w:rPr>
      </w:pPr>
      <w:r>
        <w:rPr>
          <w:rFonts w:hint="eastAsia"/>
          <w:color w:val="000000" w:themeColor="text1"/>
          <w:szCs w:val="21"/>
          <w:highlight w:val="none"/>
          <w14:textFill>
            <w14:solidFill>
              <w14:schemeClr w14:val="tx1"/>
            </w14:solidFill>
          </w14:textFill>
        </w:rPr>
        <w:t>d、施工场地周围以下管线和邻近建筑物、构筑物保护要求及费用承担：</w:t>
      </w:r>
      <w:r>
        <w:rPr>
          <w:rFonts w:hint="eastAsia"/>
          <w:color w:val="000000" w:themeColor="text1"/>
          <w:szCs w:val="21"/>
          <w:highlight w:val="none"/>
          <w:u w:val="single"/>
          <w14:textFill>
            <w14:solidFill>
              <w14:schemeClr w14:val="tx1"/>
            </w14:solidFill>
          </w14:textFill>
        </w:rPr>
        <w:t>工程竣工移交前由承包人负责。由于施工方法不当造成损失、损坏发生的费用由承包方承担。</w:t>
      </w:r>
    </w:p>
    <w:p w14:paraId="4529175F">
      <w:pPr>
        <w:spacing w:line="360" w:lineRule="auto"/>
        <w:ind w:firstLine="403" w:firstLineChars="192"/>
        <w:rPr>
          <w:color w:val="000000" w:themeColor="text1"/>
          <w:szCs w:val="21"/>
          <w:highlight w:val="none"/>
          <w:u w:val="single"/>
          <w14:textFill>
            <w14:solidFill>
              <w14:schemeClr w14:val="tx1"/>
            </w14:solidFill>
          </w14:textFill>
        </w:rPr>
      </w:pPr>
      <w:r>
        <w:rPr>
          <w:rFonts w:hint="eastAsia"/>
          <w:color w:val="000000" w:themeColor="text1"/>
          <w:szCs w:val="21"/>
          <w:highlight w:val="none"/>
          <w14:textFill>
            <w14:solidFill>
              <w14:schemeClr w14:val="tx1"/>
            </w14:solidFill>
          </w14:textFill>
        </w:rPr>
        <w:t>e、施工场地清洁卫生的要求：</w:t>
      </w:r>
      <w:r>
        <w:rPr>
          <w:rFonts w:hint="eastAsia"/>
          <w:color w:val="000000" w:themeColor="text1"/>
          <w:szCs w:val="21"/>
          <w:highlight w:val="none"/>
          <w:u w:val="single"/>
          <w14:textFill>
            <w14:solidFill>
              <w14:schemeClr w14:val="tx1"/>
            </w14:solidFill>
          </w14:textFill>
        </w:rPr>
        <w:t>参照省、市级文明工地要求并符合创卫标准，做到工完场清、构件、材料、设施分类堆放，做好标志、道路清洁、给排水畅通。</w:t>
      </w:r>
    </w:p>
    <w:p w14:paraId="13703811">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f、双方约定承包人应做的其他工作：</w:t>
      </w:r>
      <w:r>
        <w:rPr>
          <w:rFonts w:hint="eastAsia"/>
          <w:color w:val="000000" w:themeColor="text1"/>
          <w:szCs w:val="21"/>
          <w:highlight w:val="none"/>
          <w:u w:val="single"/>
          <w14:textFill>
            <w14:solidFill>
              <w14:schemeClr w14:val="tx1"/>
            </w14:solidFill>
          </w14:textFill>
        </w:rPr>
        <w:t>主动与发包人配合共同办理施工许可证等有关手续的工作。按时足额支付农民工工资。</w:t>
      </w:r>
    </w:p>
    <w:p w14:paraId="4506516B">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3.2 项目经理</w:t>
      </w:r>
    </w:p>
    <w:p w14:paraId="10DFCCFC">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 xml:space="preserve">3.2.1 </w:t>
      </w:r>
      <w:r>
        <w:rPr>
          <w:rFonts w:ascii="宋体" w:hAnsi="宋体"/>
          <w:color w:val="000000" w:themeColor="text1"/>
          <w:szCs w:val="21"/>
          <w:highlight w:val="none"/>
          <w14:textFill>
            <w14:solidFill>
              <w14:schemeClr w14:val="tx1"/>
            </w14:solidFill>
          </w14:textFill>
        </w:rPr>
        <w:t>项目经理：</w:t>
      </w:r>
    </w:p>
    <w:p w14:paraId="771F807B">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姓    名：</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4F30896C">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身份证号：</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527AC1CA">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建造师执业资格等级：</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7DE19451">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建造师注册证书号：</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7D0ACF69">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建造师执业印章号：</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2B381045">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安全生产考核合格证书号：</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1E45E919">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联系电话：</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7AD59505">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电子信箱：</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0B15218F">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通信地址：</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02B1400E">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承包人对项目经理的授权范围如下：</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施工现场的进度、安全、质量、费用等项目管理工作</w:t>
      </w:r>
      <w:r>
        <w:rPr>
          <w:rFonts w:ascii="宋体" w:hAnsi="宋体"/>
          <w:color w:val="000000" w:themeColor="text1"/>
          <w:szCs w:val="21"/>
          <w:highlight w:val="none"/>
          <w14:textFill>
            <w14:solidFill>
              <w14:schemeClr w14:val="tx1"/>
            </w14:solidFill>
          </w14:textFill>
        </w:rPr>
        <w:t>。</w:t>
      </w:r>
    </w:p>
    <w:p w14:paraId="36CB95FB">
      <w:pPr>
        <w:spacing w:line="360" w:lineRule="auto"/>
        <w:ind w:firstLine="420" w:firstLineChars="200"/>
        <w:jc w:val="left"/>
        <w:rPr>
          <w:color w:val="000000" w:themeColor="text1"/>
          <w:szCs w:val="21"/>
          <w:highlight w:val="none"/>
          <w:u w:val="singl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关于项目经理每月在施工现场的时间要求：</w:t>
      </w:r>
      <w:r>
        <w:rPr>
          <w:color w:val="000000" w:themeColor="text1"/>
          <w:szCs w:val="21"/>
          <w:highlight w:val="none"/>
          <w:u w:val="single"/>
          <w14:textFill>
            <w14:solidFill>
              <w14:schemeClr w14:val="tx1"/>
            </w14:solidFill>
          </w14:textFill>
        </w:rPr>
        <w:t>项目经理</w:t>
      </w:r>
      <w:r>
        <w:rPr>
          <w:rFonts w:hint="eastAsia"/>
          <w:color w:val="000000" w:themeColor="text1"/>
          <w:szCs w:val="21"/>
          <w:highlight w:val="none"/>
          <w:u w:val="single"/>
          <w14:textFill>
            <w14:solidFill>
              <w14:schemeClr w14:val="tx1"/>
            </w14:solidFill>
          </w14:textFill>
        </w:rPr>
        <w:t>必须坚守工地</w:t>
      </w:r>
      <w:r>
        <w:rPr>
          <w:color w:val="000000" w:themeColor="text1"/>
          <w:szCs w:val="21"/>
          <w:highlight w:val="none"/>
          <w:u w:val="single"/>
          <w14:textFill>
            <w14:solidFill>
              <w14:schemeClr w14:val="tx1"/>
            </w14:solidFill>
          </w14:textFill>
        </w:rPr>
        <w:t>，</w:t>
      </w:r>
      <w:r>
        <w:rPr>
          <w:rFonts w:hint="eastAsia"/>
          <w:color w:val="000000" w:themeColor="text1"/>
          <w:szCs w:val="21"/>
          <w:highlight w:val="none"/>
          <w:u w:val="single"/>
          <w14:textFill>
            <w14:solidFill>
              <w14:schemeClr w14:val="tx1"/>
            </w14:solidFill>
          </w14:textFill>
        </w:rPr>
        <w:t>每周在现场工作日不少于5天，每少一天罚款500元，</w:t>
      </w:r>
      <w:r>
        <w:rPr>
          <w:color w:val="000000" w:themeColor="text1"/>
          <w:szCs w:val="21"/>
          <w:highlight w:val="none"/>
          <w:u w:val="single"/>
          <w14:textFill>
            <w14:solidFill>
              <w14:schemeClr w14:val="tx1"/>
            </w14:solidFill>
          </w14:textFill>
        </w:rPr>
        <w:t>外出</w:t>
      </w:r>
      <w:r>
        <w:rPr>
          <w:rFonts w:hint="eastAsia"/>
          <w:color w:val="000000" w:themeColor="text1"/>
          <w:szCs w:val="21"/>
          <w:highlight w:val="none"/>
          <w:u w:val="single"/>
          <w14:textFill>
            <w14:solidFill>
              <w14:schemeClr w14:val="tx1"/>
            </w14:solidFill>
          </w14:textFill>
        </w:rPr>
        <w:t>连续等于或超过三天以上时，</w:t>
      </w:r>
      <w:r>
        <w:rPr>
          <w:color w:val="000000" w:themeColor="text1"/>
          <w:szCs w:val="21"/>
          <w:highlight w:val="none"/>
          <w:u w:val="single"/>
          <w14:textFill>
            <w14:solidFill>
              <w14:schemeClr w14:val="tx1"/>
            </w14:solidFill>
          </w14:textFill>
        </w:rPr>
        <w:t>必须</w:t>
      </w:r>
      <w:r>
        <w:rPr>
          <w:rFonts w:hint="eastAsia"/>
          <w:color w:val="000000" w:themeColor="text1"/>
          <w:szCs w:val="21"/>
          <w:highlight w:val="none"/>
          <w:u w:val="single"/>
          <w14:textFill>
            <w14:solidFill>
              <w14:schemeClr w14:val="tx1"/>
            </w14:solidFill>
          </w14:textFill>
        </w:rPr>
        <w:t>事先</w:t>
      </w:r>
      <w:r>
        <w:rPr>
          <w:color w:val="000000" w:themeColor="text1"/>
          <w:szCs w:val="21"/>
          <w:highlight w:val="none"/>
          <w:u w:val="single"/>
          <w14:textFill>
            <w14:solidFill>
              <w14:schemeClr w14:val="tx1"/>
            </w14:solidFill>
          </w14:textFill>
        </w:rPr>
        <w:t>取得发包人的许可</w:t>
      </w:r>
      <w:r>
        <w:rPr>
          <w:rFonts w:hint="eastAsia"/>
          <w:color w:val="000000" w:themeColor="text1"/>
          <w:szCs w:val="21"/>
          <w:highlight w:val="none"/>
          <w:u w:val="single"/>
          <w14:textFill>
            <w14:solidFill>
              <w14:schemeClr w14:val="tx1"/>
            </w14:solidFill>
          </w14:textFill>
        </w:rPr>
        <w:t>。</w:t>
      </w:r>
    </w:p>
    <w:p w14:paraId="438A9CB5">
      <w:pPr>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承包人未提交劳动合同，以及没有为项目经理缴纳社会保险证明的违约责任：</w:t>
      </w:r>
      <w:r>
        <w:rPr>
          <w:rFonts w:hint="eastAsia" w:ascii="宋体" w:hAnsi="宋体"/>
          <w:color w:val="000000" w:themeColor="text1"/>
          <w:szCs w:val="21"/>
          <w:highlight w:val="none"/>
          <w:u w:val="single"/>
          <w14:textFill>
            <w14:solidFill>
              <w14:schemeClr w14:val="tx1"/>
            </w14:solidFill>
          </w14:textFill>
        </w:rPr>
        <w:t>由承包人自行承担。</w:t>
      </w:r>
    </w:p>
    <w:p w14:paraId="645EBFFE">
      <w:pPr>
        <w:spacing w:line="360" w:lineRule="auto"/>
        <w:ind w:firstLine="420" w:firstLineChars="200"/>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项目经理未经批准，擅自离开施工现场的违约责任：</w:t>
      </w:r>
      <w:r>
        <w:rPr>
          <w:rFonts w:hint="eastAsia" w:ascii="宋体" w:hAnsi="宋体"/>
          <w:color w:val="000000" w:themeColor="text1"/>
          <w:szCs w:val="21"/>
          <w:highlight w:val="none"/>
          <w:u w:val="single"/>
          <w14:textFill>
            <w14:solidFill>
              <w14:schemeClr w14:val="tx1"/>
            </w14:solidFill>
          </w14:textFill>
        </w:rPr>
        <w:t>发包人有权按照500元</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天进行处罚。</w:t>
      </w:r>
    </w:p>
    <w:p w14:paraId="3DB91573">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3.2.3 承包人擅自更换项目经理的违约责任：</w:t>
      </w:r>
      <w:r>
        <w:rPr>
          <w:rFonts w:hint="eastAsia" w:ascii="宋体" w:hAnsi="宋体"/>
          <w:color w:val="000000" w:themeColor="text1"/>
          <w:szCs w:val="21"/>
          <w:highlight w:val="none"/>
          <w:u w:val="single"/>
          <w14:textFill>
            <w14:solidFill>
              <w14:schemeClr w14:val="tx1"/>
            </w14:solidFill>
          </w14:textFill>
        </w:rPr>
        <w:t>视为承包人违约，发包人有权取消合同</w:t>
      </w:r>
      <w:r>
        <w:rPr>
          <w:rFonts w:ascii="宋体" w:hAnsi="宋体"/>
          <w:color w:val="000000" w:themeColor="text1"/>
          <w:szCs w:val="21"/>
          <w:highlight w:val="none"/>
          <w14:textFill>
            <w14:solidFill>
              <w14:schemeClr w14:val="tx1"/>
            </w14:solidFill>
          </w14:textFill>
        </w:rPr>
        <w:t>。</w:t>
      </w:r>
    </w:p>
    <w:p w14:paraId="76E88F80">
      <w:pPr>
        <w:spacing w:line="360" w:lineRule="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 xml:space="preserve">    3.2.4 承包人无正当理由拒绝更换项目经理的违约责任：</w:t>
      </w:r>
      <w:r>
        <w:rPr>
          <w:rFonts w:hint="eastAsia" w:ascii="宋体" w:hAnsi="宋体"/>
          <w:color w:val="000000" w:themeColor="text1"/>
          <w:szCs w:val="21"/>
          <w:highlight w:val="none"/>
          <w:u w:val="single"/>
          <w14:textFill>
            <w14:solidFill>
              <w14:schemeClr w14:val="tx1"/>
            </w14:solidFill>
          </w14:textFill>
        </w:rPr>
        <w:t>视为承包人违约，发包人有权取消合同</w:t>
      </w:r>
      <w:r>
        <w:rPr>
          <w:rFonts w:ascii="宋体" w:hAnsi="宋体"/>
          <w:color w:val="000000" w:themeColor="text1"/>
          <w:szCs w:val="21"/>
          <w:highlight w:val="none"/>
          <w14:textFill>
            <w14:solidFill>
              <w14:schemeClr w14:val="tx1"/>
            </w14:solidFill>
          </w14:textFill>
        </w:rPr>
        <w:t>。</w:t>
      </w:r>
    </w:p>
    <w:p w14:paraId="6CE5814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3.3 承包人人员</w:t>
      </w:r>
    </w:p>
    <w:p w14:paraId="635DE02C">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3.3.1 承包人提交项目管理机构及施工现场管理人员安排报告的期限：</w:t>
      </w:r>
      <w:r>
        <w:rPr>
          <w:rFonts w:hint="eastAsia" w:ascii="宋体" w:hAnsi="宋体"/>
          <w:color w:val="000000" w:themeColor="text1"/>
          <w:szCs w:val="21"/>
          <w:highlight w:val="none"/>
          <w:u w:val="single"/>
          <w14:textFill>
            <w14:solidFill>
              <w14:schemeClr w14:val="tx1"/>
            </w14:solidFill>
          </w14:textFill>
        </w:rPr>
        <w:t>合同签订后7日内</w:t>
      </w:r>
      <w:r>
        <w:rPr>
          <w:rFonts w:ascii="宋体" w:hAnsi="宋体"/>
          <w:color w:val="000000" w:themeColor="text1"/>
          <w:szCs w:val="21"/>
          <w:highlight w:val="none"/>
          <w14:textFill>
            <w14:solidFill>
              <w14:schemeClr w14:val="tx1"/>
            </w14:solidFill>
          </w14:textFill>
        </w:rPr>
        <w:t>。</w:t>
      </w:r>
    </w:p>
    <w:p w14:paraId="60E8AEAC">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3.3.3 承包人无正当理由拒绝撤换主要施工管理人员的违约责任：</w:t>
      </w:r>
      <w:r>
        <w:rPr>
          <w:rFonts w:hint="eastAsia" w:ascii="宋体" w:hAnsi="宋体"/>
          <w:color w:val="000000" w:themeColor="text1"/>
          <w:szCs w:val="21"/>
          <w:highlight w:val="none"/>
          <w:u w:val="single"/>
          <w14:textFill>
            <w14:solidFill>
              <w14:schemeClr w14:val="tx1"/>
            </w14:solidFill>
          </w14:textFill>
        </w:rPr>
        <w:t>视为承包人违约，发包人有权解除合同</w:t>
      </w:r>
      <w:r>
        <w:rPr>
          <w:rFonts w:ascii="宋体" w:hAnsi="宋体"/>
          <w:color w:val="000000" w:themeColor="text1"/>
          <w:szCs w:val="21"/>
          <w:highlight w:val="none"/>
          <w14:textFill>
            <w14:solidFill>
              <w14:schemeClr w14:val="tx1"/>
            </w14:solidFill>
          </w14:textFill>
        </w:rPr>
        <w:t>。</w:t>
      </w:r>
    </w:p>
    <w:p w14:paraId="79FF2091">
      <w:pPr>
        <w:spacing w:line="360" w:lineRule="auto"/>
        <w:ind w:firstLine="420" w:firstLineChars="200"/>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3.3.4 承包人主要施工管理人员离开施工现场的批准要求：</w:t>
      </w:r>
      <w:r>
        <w:rPr>
          <w:rFonts w:ascii="宋体" w:hAnsi="宋体"/>
          <w:color w:val="000000" w:themeColor="text1"/>
          <w:szCs w:val="21"/>
          <w:highlight w:val="none"/>
          <w:u w:val="single"/>
          <w14:textFill>
            <w14:solidFill>
              <w14:schemeClr w14:val="tx1"/>
            </w14:solidFill>
          </w14:textFill>
        </w:rPr>
        <w:t>必须</w:t>
      </w:r>
      <w:r>
        <w:rPr>
          <w:rFonts w:hint="eastAsia" w:ascii="宋体" w:hAnsi="宋体"/>
          <w:color w:val="000000" w:themeColor="text1"/>
          <w:szCs w:val="21"/>
          <w:highlight w:val="none"/>
          <w:u w:val="single"/>
          <w14:textFill>
            <w14:solidFill>
              <w14:schemeClr w14:val="tx1"/>
            </w14:solidFill>
          </w14:textFill>
        </w:rPr>
        <w:t>事先</w:t>
      </w:r>
      <w:r>
        <w:rPr>
          <w:rFonts w:ascii="宋体" w:hAnsi="宋体"/>
          <w:color w:val="000000" w:themeColor="text1"/>
          <w:szCs w:val="21"/>
          <w:highlight w:val="none"/>
          <w:u w:val="single"/>
          <w14:textFill>
            <w14:solidFill>
              <w14:schemeClr w14:val="tx1"/>
            </w14:solidFill>
          </w14:textFill>
        </w:rPr>
        <w:t>取得发包人的许可</w:t>
      </w:r>
      <w:r>
        <w:rPr>
          <w:rFonts w:ascii="宋体" w:hAnsi="宋体"/>
          <w:color w:val="000000" w:themeColor="text1"/>
          <w:szCs w:val="21"/>
          <w:highlight w:val="none"/>
          <w14:textFill>
            <w14:solidFill>
              <w14:schemeClr w14:val="tx1"/>
            </w14:solidFill>
          </w14:textFill>
        </w:rPr>
        <w:t>。</w:t>
      </w:r>
    </w:p>
    <w:p w14:paraId="5F9A7CA8">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3.3.5承包人擅自更换主要施工管理人员的违约责任：</w:t>
      </w:r>
      <w:r>
        <w:rPr>
          <w:rFonts w:hint="eastAsia" w:ascii="宋体" w:hAnsi="宋体"/>
          <w:color w:val="000000" w:themeColor="text1"/>
          <w:szCs w:val="21"/>
          <w:highlight w:val="none"/>
          <w:u w:val="single"/>
          <w14:textFill>
            <w14:solidFill>
              <w14:schemeClr w14:val="tx1"/>
            </w14:solidFill>
          </w14:textFill>
        </w:rPr>
        <w:t>视为承包人违约，发包人有权根据情况扣除承包人</w:t>
      </w:r>
      <w:r>
        <w:rPr>
          <w:rFonts w:ascii="宋体" w:hAnsi="宋体"/>
          <w:color w:val="000000" w:themeColor="text1"/>
          <w:szCs w:val="21"/>
          <w:highlight w:val="none"/>
          <w:u w:val="single"/>
          <w14:textFill>
            <w14:solidFill>
              <w14:schemeClr w14:val="tx1"/>
            </w14:solidFill>
          </w14:textFill>
        </w:rPr>
        <w:t>3</w:t>
      </w:r>
      <w:r>
        <w:rPr>
          <w:rFonts w:hint="eastAsia" w:ascii="宋体" w:hAnsi="宋体"/>
          <w:color w:val="000000" w:themeColor="text1"/>
          <w:szCs w:val="21"/>
          <w:highlight w:val="none"/>
          <w:u w:val="single"/>
          <w14:textFill>
            <w14:solidFill>
              <w14:schemeClr w14:val="tx1"/>
            </w14:solidFill>
          </w14:textFill>
        </w:rPr>
        <w:t>000元-</w:t>
      </w:r>
      <w:r>
        <w:rPr>
          <w:rFonts w:ascii="宋体" w:hAnsi="宋体"/>
          <w:color w:val="000000" w:themeColor="text1"/>
          <w:szCs w:val="21"/>
          <w:highlight w:val="none"/>
          <w:u w:val="single"/>
          <w14:textFill>
            <w14:solidFill>
              <w14:schemeClr w14:val="tx1"/>
            </w14:solidFill>
          </w14:textFill>
        </w:rPr>
        <w:t>5</w:t>
      </w:r>
      <w:r>
        <w:rPr>
          <w:rFonts w:hint="eastAsia" w:ascii="宋体" w:hAnsi="宋体"/>
          <w:color w:val="000000" w:themeColor="text1"/>
          <w:szCs w:val="21"/>
          <w:highlight w:val="none"/>
          <w:u w:val="single"/>
          <w14:textFill>
            <w14:solidFill>
              <w14:schemeClr w14:val="tx1"/>
            </w14:solidFill>
          </w14:textFill>
        </w:rPr>
        <w:t>000元/人违约金</w:t>
      </w:r>
      <w:r>
        <w:rPr>
          <w:rFonts w:ascii="宋体" w:hAnsi="宋体"/>
          <w:color w:val="000000" w:themeColor="text1"/>
          <w:szCs w:val="21"/>
          <w:highlight w:val="none"/>
          <w14:textFill>
            <w14:solidFill>
              <w14:schemeClr w14:val="tx1"/>
            </w14:solidFill>
          </w14:textFill>
        </w:rPr>
        <w:t>。</w:t>
      </w:r>
    </w:p>
    <w:p w14:paraId="22B061B9">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承包人主要施工管理人员擅自离开施工现场的违约责任：</w:t>
      </w:r>
      <w:r>
        <w:rPr>
          <w:rFonts w:hint="eastAsia" w:ascii="宋体" w:hAnsi="宋体"/>
          <w:color w:val="000000" w:themeColor="text1"/>
          <w:szCs w:val="21"/>
          <w:highlight w:val="none"/>
          <w:u w:val="single"/>
          <w14:textFill>
            <w14:solidFill>
              <w14:schemeClr w14:val="tx1"/>
            </w14:solidFill>
          </w14:textFill>
        </w:rPr>
        <w:t>发包人有权按照500元</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人/天进行处罚</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586598A8">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bookmarkStart w:id="52" w:name="_Toc296944498"/>
      <w:bookmarkStart w:id="53" w:name="_Toc303539102"/>
      <w:bookmarkStart w:id="54" w:name="_Toc296503159"/>
      <w:bookmarkStart w:id="55" w:name="_Toc304295523"/>
      <w:bookmarkStart w:id="56" w:name="_Toc296347158"/>
      <w:bookmarkStart w:id="57" w:name="_Toc297216151"/>
      <w:bookmarkStart w:id="58" w:name="_Toc296346660"/>
      <w:bookmarkStart w:id="59" w:name="_Toc297123492"/>
      <w:bookmarkStart w:id="60" w:name="_Toc300934945"/>
      <w:bookmarkStart w:id="61" w:name="_Toc312677988"/>
      <w:bookmarkStart w:id="62" w:name="_Toc296891199"/>
      <w:bookmarkStart w:id="63" w:name="_Toc297120459"/>
      <w:bookmarkStart w:id="64" w:name="_Toc296890987"/>
      <w:bookmarkStart w:id="65" w:name="_Toc292559364"/>
      <w:bookmarkStart w:id="66" w:name="_Toc292559869"/>
      <w:bookmarkStart w:id="67" w:name="_Toc297048345"/>
      <w:r>
        <w:rPr>
          <w:rFonts w:ascii="宋体" w:hAnsi="宋体"/>
          <w:color w:val="000000" w:themeColor="text1"/>
          <w:szCs w:val="21"/>
          <w:highlight w:val="none"/>
          <w14:textFill>
            <w14:solidFill>
              <w14:schemeClr w14:val="tx1"/>
            </w14:solidFill>
          </w14:textFill>
        </w:rPr>
        <w:t>.5 分包</w:t>
      </w:r>
    </w:p>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14:paraId="79F7F91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bookmarkStart w:id="68" w:name="_Toc296346661"/>
      <w:bookmarkStart w:id="69" w:name="_Toc296944499"/>
      <w:bookmarkStart w:id="70" w:name="_Toc296347159"/>
      <w:bookmarkStart w:id="71" w:name="_Toc297120460"/>
      <w:bookmarkStart w:id="72" w:name="_Toc300934946"/>
      <w:bookmarkStart w:id="73" w:name="_Toc296891200"/>
      <w:bookmarkStart w:id="74" w:name="_Toc292559365"/>
      <w:bookmarkStart w:id="75" w:name="_Toc296890988"/>
      <w:bookmarkStart w:id="76" w:name="_Toc297123493"/>
      <w:bookmarkStart w:id="77" w:name="_Toc318581158"/>
      <w:bookmarkStart w:id="78" w:name="_Toc303539103"/>
      <w:bookmarkStart w:id="79" w:name="_Toc304295524"/>
      <w:bookmarkStart w:id="80" w:name="_Toc297048346"/>
      <w:bookmarkStart w:id="81" w:name="_Toc297216152"/>
      <w:bookmarkStart w:id="82" w:name="_Toc296503160"/>
      <w:bookmarkStart w:id="83" w:name="_Toc312677989"/>
      <w:bookmarkStart w:id="84" w:name="_Toc292559870"/>
      <w:r>
        <w:rPr>
          <w:rFonts w:ascii="宋体" w:hAnsi="宋体"/>
          <w:color w:val="000000" w:themeColor="text1"/>
          <w:szCs w:val="21"/>
          <w:highlight w:val="none"/>
          <w14:textFill>
            <w14:solidFill>
              <w14:schemeClr w14:val="tx1"/>
            </w14:solidFill>
          </w14:textFill>
        </w:rPr>
        <w:t>.5.1 分包的一般约定</w:t>
      </w:r>
    </w:p>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14:paraId="6EAA9D2E">
      <w:pPr>
        <w:spacing w:line="360" w:lineRule="auto"/>
        <w:ind w:firstLine="420" w:firstLineChars="200"/>
        <w:jc w:val="left"/>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kern w:val="0"/>
          <w:szCs w:val="21"/>
          <w:highlight w:val="none"/>
          <w:u w:val="single"/>
          <w14:textFill>
            <w14:solidFill>
              <w14:schemeClr w14:val="tx1"/>
            </w14:solidFill>
          </w14:textFill>
        </w:rPr>
        <w:t>承包人不得将其承包的全部工程转包给第三人，或将其承包的全部工程肢解后以分包的名义转包给第三人</w:t>
      </w:r>
      <w:r>
        <w:rPr>
          <w:rFonts w:ascii="宋体" w:hAnsi="宋体"/>
          <w:color w:val="000000" w:themeColor="text1"/>
          <w:szCs w:val="21"/>
          <w:highlight w:val="none"/>
          <w14:textFill>
            <w14:solidFill>
              <w14:schemeClr w14:val="tx1"/>
            </w14:solidFill>
          </w14:textFill>
        </w:rPr>
        <w:t>。</w:t>
      </w:r>
      <w:bookmarkStart w:id="85" w:name="_Toc296346662"/>
      <w:bookmarkStart w:id="86" w:name="_Toc300934947"/>
      <w:bookmarkStart w:id="87" w:name="_Toc296347160"/>
      <w:bookmarkStart w:id="88" w:name="_Toc297048347"/>
      <w:bookmarkStart w:id="89" w:name="_Toc303539104"/>
      <w:bookmarkStart w:id="90" w:name="_Toc296890989"/>
      <w:bookmarkStart w:id="91" w:name="_Toc297120461"/>
      <w:bookmarkStart w:id="92" w:name="_Toc296944500"/>
      <w:bookmarkStart w:id="93" w:name="_Toc297216153"/>
      <w:bookmarkStart w:id="94" w:name="_Toc304295525"/>
      <w:bookmarkStart w:id="95" w:name="_Toc296891201"/>
      <w:bookmarkStart w:id="96" w:name="_Toc297123494"/>
      <w:bookmarkStart w:id="97" w:name="_Toc296503161"/>
    </w:p>
    <w:bookmarkEnd w:id="85"/>
    <w:bookmarkEnd w:id="86"/>
    <w:bookmarkEnd w:id="87"/>
    <w:bookmarkEnd w:id="88"/>
    <w:bookmarkEnd w:id="89"/>
    <w:bookmarkEnd w:id="90"/>
    <w:bookmarkEnd w:id="91"/>
    <w:bookmarkEnd w:id="92"/>
    <w:bookmarkEnd w:id="93"/>
    <w:bookmarkEnd w:id="94"/>
    <w:bookmarkEnd w:id="95"/>
    <w:bookmarkEnd w:id="96"/>
    <w:bookmarkEnd w:id="97"/>
    <w:p w14:paraId="409AAEE7">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3.6 工程照管与成品、半成品保护</w:t>
      </w:r>
    </w:p>
    <w:p w14:paraId="27493E93">
      <w:pPr>
        <w:spacing w:line="360" w:lineRule="auto"/>
        <w:ind w:firstLine="420" w:firstLineChars="200"/>
        <w:rPr>
          <w:rFonts w:ascii="宋体" w:hAnsi="宋体"/>
          <w:color w:val="000000" w:themeColor="text1"/>
          <w:kern w:val="0"/>
          <w:szCs w:val="21"/>
          <w:highlight w:val="none"/>
          <w:u w:val="singl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承包人负责照管工程及工程相关的材料、工程设备的起始时间：</w:t>
      </w:r>
      <w:r>
        <w:rPr>
          <w:rFonts w:ascii="宋体" w:hAnsi="宋体"/>
          <w:color w:val="000000" w:themeColor="text1"/>
          <w:kern w:val="0"/>
          <w:szCs w:val="21"/>
          <w:highlight w:val="none"/>
          <w:u w:val="single"/>
          <w14:textFill>
            <w14:solidFill>
              <w14:schemeClr w14:val="tx1"/>
            </w14:solidFill>
          </w14:textFill>
        </w:rPr>
        <w:t>项目正式开工至项目移交</w:t>
      </w:r>
      <w:r>
        <w:rPr>
          <w:rFonts w:hint="eastAsia" w:ascii="宋体" w:hAnsi="宋体"/>
          <w:color w:val="000000" w:themeColor="text1"/>
          <w:kern w:val="0"/>
          <w:szCs w:val="21"/>
          <w:highlight w:val="none"/>
          <w:u w:val="single"/>
          <w14:textFill>
            <w14:solidFill>
              <w14:schemeClr w14:val="tx1"/>
            </w14:solidFill>
          </w14:textFill>
        </w:rPr>
        <w:t>竣工验收并交付使用</w:t>
      </w:r>
      <w:r>
        <w:rPr>
          <w:rFonts w:ascii="宋体" w:hAnsi="宋体"/>
          <w:color w:val="000000" w:themeColor="text1"/>
          <w:kern w:val="0"/>
          <w:szCs w:val="21"/>
          <w:highlight w:val="none"/>
          <w14:textFill>
            <w14:solidFill>
              <w14:schemeClr w14:val="tx1"/>
            </w14:solidFill>
          </w14:textFill>
        </w:rPr>
        <w:t>。</w:t>
      </w:r>
    </w:p>
    <w:p w14:paraId="711847F6">
      <w:pPr>
        <w:pStyle w:val="5"/>
        <w:ind w:firstLine="0" w:firstLineChars="0"/>
        <w:rPr>
          <w:b/>
          <w:color w:val="000000" w:themeColor="text1"/>
          <w:highlight w:val="none"/>
          <w14:textFill>
            <w14:solidFill>
              <w14:schemeClr w14:val="tx1"/>
            </w14:solidFill>
          </w14:textFill>
        </w:rPr>
      </w:pPr>
      <w:bookmarkStart w:id="98" w:name="_Toc267251418"/>
      <w:bookmarkStart w:id="99" w:name="_Toc26627"/>
      <w:bookmarkStart w:id="100" w:name="_Toc351203637"/>
      <w:bookmarkStart w:id="101" w:name="_Toc18393"/>
      <w:r>
        <w:rPr>
          <w:rFonts w:hint="eastAsia"/>
          <w:b/>
          <w:color w:val="000000" w:themeColor="text1"/>
          <w:highlight w:val="none"/>
          <w14:textFill>
            <w14:solidFill>
              <w14:schemeClr w14:val="tx1"/>
            </w14:solidFill>
          </w14:textFill>
        </w:rPr>
        <w:t>5</w:t>
      </w:r>
      <w:bookmarkEnd w:id="98"/>
      <w:bookmarkStart w:id="102" w:name="_Toc296347162"/>
      <w:bookmarkStart w:id="103" w:name="_Toc296346664"/>
      <w:bookmarkStart w:id="104" w:name="_Toc296944502"/>
      <w:bookmarkStart w:id="105" w:name="_Toc292559367"/>
      <w:bookmarkStart w:id="106" w:name="_Toc296891203"/>
      <w:bookmarkStart w:id="107" w:name="_Toc292559872"/>
      <w:bookmarkStart w:id="108" w:name="_Toc296890991"/>
      <w:bookmarkStart w:id="109" w:name="_Toc296503163"/>
      <w:bookmarkStart w:id="110" w:name="_Toc297048349"/>
      <w:bookmarkStart w:id="111" w:name="_Toc297120463"/>
      <w:r>
        <w:rPr>
          <w:rFonts w:hint="eastAsia"/>
          <w:b/>
          <w:color w:val="000000" w:themeColor="text1"/>
          <w:highlight w:val="none"/>
          <w14:textFill>
            <w14:solidFill>
              <w14:schemeClr w14:val="tx1"/>
            </w14:solidFill>
          </w14:textFill>
        </w:rPr>
        <w:t>. 工程质量</w:t>
      </w:r>
      <w:bookmarkEnd w:id="99"/>
      <w:bookmarkEnd w:id="100"/>
      <w:bookmarkEnd w:id="101"/>
    </w:p>
    <w:p w14:paraId="431BDD3C">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5.1 质量要求</w:t>
      </w:r>
    </w:p>
    <w:p w14:paraId="64A5EA6A">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bookmarkStart w:id="112" w:name="_Toc312677997"/>
      <w:bookmarkStart w:id="113" w:name="_Toc300934949"/>
      <w:bookmarkStart w:id="114" w:name="_Toc297123496"/>
      <w:bookmarkStart w:id="115" w:name="_Toc303539106"/>
      <w:bookmarkStart w:id="116" w:name="_Toc304295527"/>
      <w:bookmarkStart w:id="117" w:name="_Toc297216155"/>
      <w:bookmarkStart w:id="118" w:name="_Toc318581164"/>
      <w:r>
        <w:rPr>
          <w:rFonts w:ascii="宋体" w:hAnsi="宋体"/>
          <w:color w:val="000000" w:themeColor="text1"/>
          <w:szCs w:val="21"/>
          <w:highlight w:val="none"/>
          <w14:textFill>
            <w14:solidFill>
              <w14:schemeClr w14:val="tx1"/>
            </w14:solidFill>
          </w14:textFill>
        </w:rPr>
        <w:t>5.1.1 特殊质量标准和要求：</w:t>
      </w:r>
      <w:r>
        <w:rPr>
          <w:rFonts w:hint="eastAsia" w:ascii="宋体" w:hAnsi="宋体"/>
          <w:color w:val="000000" w:themeColor="text1"/>
          <w:szCs w:val="21"/>
          <w:highlight w:val="none"/>
          <w:u w:val="single"/>
          <w14:textFill>
            <w14:solidFill>
              <w14:schemeClr w14:val="tx1"/>
            </w14:solidFill>
          </w14:textFill>
        </w:rPr>
        <w:t>达到国家现行施工验收规范“合格”标准，本工程参照省、市级“文明工地”标准。</w:t>
      </w:r>
    </w:p>
    <w:p w14:paraId="06E00347">
      <w:pPr>
        <w:pStyle w:val="5"/>
        <w:ind w:firstLine="0" w:firstLineChars="0"/>
        <w:rPr>
          <w:b/>
          <w:color w:val="000000" w:themeColor="text1"/>
          <w:highlight w:val="none"/>
          <w14:textFill>
            <w14:solidFill>
              <w14:schemeClr w14:val="tx1"/>
            </w14:solidFill>
          </w14:textFill>
        </w:rPr>
      </w:pPr>
      <w:bookmarkStart w:id="119" w:name="_Toc351203638"/>
      <w:bookmarkStart w:id="120" w:name="_Toc23896"/>
      <w:bookmarkStart w:id="121" w:name="_Toc5851"/>
      <w:r>
        <w:rPr>
          <w:rFonts w:hint="eastAsia"/>
          <w:b/>
          <w:color w:val="000000" w:themeColor="text1"/>
          <w:highlight w:val="none"/>
          <w14:textFill>
            <w14:solidFill>
              <w14:schemeClr w14:val="tx1"/>
            </w14:solidFill>
          </w14:textFill>
        </w:rPr>
        <w:t>6. 安全文明施工与环境保护</w:t>
      </w:r>
      <w:bookmarkEnd w:id="119"/>
      <w:bookmarkEnd w:id="120"/>
      <w:bookmarkEnd w:id="121"/>
    </w:p>
    <w:p w14:paraId="765B332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6.1安全文明施工</w:t>
      </w:r>
    </w:p>
    <w:p w14:paraId="6F292541">
      <w:pPr>
        <w:pStyle w:val="4"/>
        <w:snapToGrid w:val="0"/>
        <w:spacing w:line="360" w:lineRule="auto"/>
        <w:ind w:firstLine="420" w:firstLineChars="200"/>
        <w:rPr>
          <w:rFonts w:hAnsi="宋体"/>
          <w:color w:val="000000" w:themeColor="text1"/>
          <w:highlight w:val="none"/>
          <w:u w:val="single"/>
          <w14:textFill>
            <w14:solidFill>
              <w14:schemeClr w14:val="tx1"/>
            </w14:solidFill>
          </w14:textFill>
        </w:rPr>
      </w:pPr>
      <w:r>
        <w:rPr>
          <w:rFonts w:hAnsi="宋体"/>
          <w:color w:val="000000" w:themeColor="text1"/>
          <w:highlight w:val="none"/>
          <w14:textFill>
            <w14:solidFill>
              <w14:schemeClr w14:val="tx1"/>
            </w14:solidFill>
          </w14:textFill>
        </w:rPr>
        <w:t>6.1.1 项目安全生产的达标目标及相应事项的约定：</w:t>
      </w:r>
      <w:r>
        <w:rPr>
          <w:rFonts w:hAnsi="宋体"/>
          <w:color w:val="000000" w:themeColor="text1"/>
          <w:highlight w:val="none"/>
          <w:u w:val="single"/>
          <w14:textFill>
            <w14:solidFill>
              <w14:schemeClr w14:val="tx1"/>
            </w14:solidFill>
          </w14:textFill>
        </w:rPr>
        <w:t>执行《通用条款》全部条款和国家、省、市关于安全文明施工的要求规定和创卫标准，因承包方原因达不到安全文明施工的要求规定和创卫标准时，承包人应切实整改达到此要求，所需费用均由承包人承担。</w:t>
      </w:r>
      <w:r>
        <w:rPr>
          <w:color w:val="000000" w:themeColor="text1"/>
          <w:highlight w:val="none"/>
          <w:u w:val="single"/>
          <w14:textFill>
            <w14:solidFill>
              <w14:schemeClr w14:val="tx1"/>
            </w14:solidFill>
          </w14:textFill>
        </w:rPr>
        <w:t>本工程</w:t>
      </w:r>
      <w:r>
        <w:rPr>
          <w:rFonts w:hint="eastAsia"/>
          <w:color w:val="000000" w:themeColor="text1"/>
          <w:highlight w:val="none"/>
          <w:u w:val="single"/>
          <w14:textFill>
            <w14:solidFill>
              <w14:schemeClr w14:val="tx1"/>
            </w14:solidFill>
          </w14:textFill>
        </w:rPr>
        <w:t>参照省、</w:t>
      </w:r>
      <w:r>
        <w:rPr>
          <w:color w:val="000000" w:themeColor="text1"/>
          <w:highlight w:val="none"/>
          <w:u w:val="single"/>
          <w14:textFill>
            <w14:solidFill>
              <w14:schemeClr w14:val="tx1"/>
            </w14:solidFill>
          </w14:textFill>
        </w:rPr>
        <w:t>市级文明工地标准。</w:t>
      </w:r>
      <w:r>
        <w:rPr>
          <w:rFonts w:hAnsi="宋体"/>
          <w:color w:val="000000" w:themeColor="text1"/>
          <w:highlight w:val="none"/>
          <w:u w:val="single"/>
          <w14:textFill>
            <w14:solidFill>
              <w14:schemeClr w14:val="tx1"/>
            </w14:solidFill>
          </w14:textFill>
        </w:rPr>
        <w:t>承包人应建立安全防护和文明施工制度，严格按照安全防护和文明施工的规定组织施工，并做好下列工作：在施工出入口处、临时用电设施、脚手架、出入通道口、楼梯口电梯井口</w:t>
      </w:r>
      <w:r>
        <w:rPr>
          <w:rFonts w:hint="eastAsia" w:hAnsi="宋体"/>
          <w:color w:val="000000" w:themeColor="text1"/>
          <w:highlight w:val="none"/>
          <w:u w:val="single"/>
          <w14:textFill>
            <w14:solidFill>
              <w14:schemeClr w14:val="tx1"/>
            </w14:solidFill>
          </w14:textFill>
        </w:rPr>
        <w:t>、</w:t>
      </w:r>
      <w:r>
        <w:rPr>
          <w:rFonts w:hAnsi="宋体"/>
          <w:color w:val="000000" w:themeColor="text1"/>
          <w:highlight w:val="none"/>
          <w:u w:val="single"/>
          <w14:textFill>
            <w14:solidFill>
              <w14:schemeClr w14:val="tx1"/>
            </w14:solidFill>
          </w14:textFill>
        </w:rPr>
        <w:t>孔洞口、爆破物及有害危险气体和液体存放处等危险部位，设置明显的安全警示标志；保持现场道路畅通、排水及排水设施通畅，</w:t>
      </w:r>
      <w:r>
        <w:rPr>
          <w:rFonts w:hint="eastAsia" w:hAnsi="宋体"/>
          <w:color w:val="000000" w:themeColor="text1"/>
          <w:highlight w:val="none"/>
          <w:u w:val="single"/>
          <w:lang w:eastAsia="zh-CN"/>
          <w14:textFill>
            <w14:solidFill>
              <w14:schemeClr w14:val="tx1"/>
            </w14:solidFill>
          </w14:textFill>
        </w:rPr>
        <w:t>做好</w:t>
      </w:r>
      <w:r>
        <w:rPr>
          <w:rFonts w:hAnsi="宋体"/>
          <w:color w:val="000000" w:themeColor="text1"/>
          <w:highlight w:val="none"/>
          <w:u w:val="single"/>
          <w14:textFill>
            <w14:solidFill>
              <w14:schemeClr w14:val="tx1"/>
            </w14:solidFill>
          </w14:textFill>
        </w:rPr>
        <w:t>必要的现场地面硬化处理；妥善存放和处理材料设备和施工机械，水泥和其他易飞扬细颗粒的建筑材料应密闭存放或采取覆盖等措施，易燃易爆和有毒有害气体应分类存放；现场设置消防通道、配置消防设施和灭火器材，保证施工现场安全；施工垃圾、生活垃圾应分类存放，并及时从现场清运。</w:t>
      </w:r>
    </w:p>
    <w:p w14:paraId="41B85661">
      <w:pPr>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认真贯彻执行国家及省、市有关安全文明生产的法律法规规章和强制性标准、安全操作规程等，建立健全施工现场安全文明生产保证体系，落实各项具体措施，切实履行安全文明生产责任和义务，保护职工身体健康和生命安全，以及社会公众安全，保护环境卫生，保持施工现场整齐有序，做到文明施工。其他文明和安全生产要求如下：</w:t>
      </w:r>
    </w:p>
    <w:p w14:paraId="13A68375">
      <w:pPr>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（1）建立与工程规模相适应的、以项目经理为第一责任人的施工现场安全文明生产管理机构，配备相应监管人员，赋予监管权力，确保对施工现场安全文明生产实施有效管理。</w:t>
      </w:r>
    </w:p>
    <w:p w14:paraId="6A0C6AA8">
      <w:pPr>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（2）施工现场实行封闭式管理，保证安全文明生产经费的投入。安全文明生产设施、设备按标准设置，配套齐备，牢固可靠。</w:t>
      </w:r>
    </w:p>
    <w:p w14:paraId="0EA33939">
      <w:pPr>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（3）强化安全文明生产教育培训，严格实行三级安全教育制度，做到全员持证上岗。在日常监管和各级检查的基础上，严格执行汇检制度，发现隐患立即进行整改，不留死角。</w:t>
      </w:r>
    </w:p>
    <w:p w14:paraId="47DC3FCB">
      <w:pPr>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（4）施工现场使用的建筑材料、构配件、安全防护用品、安全设施、机具、机械设备和电气装置等，必须符合建筑施工安全和其他有关技术规范、标准的要求，并按规定进行检测检验。否则，一律不投入使用。</w:t>
      </w:r>
    </w:p>
    <w:p w14:paraId="61479801">
      <w:pPr>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（5）现场运入运出各类建筑材料必须使用密封车辆运输，加强路面保洁，规范</w:t>
      </w:r>
      <w:r>
        <w:rPr>
          <w:rFonts w:hint="eastAsia" w:ascii="宋体" w:hAnsi="宋体"/>
          <w:color w:val="000000" w:themeColor="text1"/>
          <w:szCs w:val="21"/>
          <w:highlight w:val="none"/>
          <w:lang w:eastAsia="zh-CN"/>
          <w14:textFill>
            <w14:solidFill>
              <w14:schemeClr w14:val="tx1"/>
            </w14:solidFill>
          </w14:textFill>
        </w:rPr>
        <w:t>砂石</w:t>
      </w:r>
      <w:r>
        <w:rPr>
          <w:rFonts w:hint="eastAsia" w:ascii="宋体" w:hAnsi="宋体"/>
          <w:color w:val="000000" w:themeColor="text1"/>
          <w:szCs w:val="21"/>
          <w:highlight w:val="none"/>
          <w14:textFill>
            <w14:solidFill>
              <w14:schemeClr w14:val="tx1"/>
            </w14:solidFill>
          </w14:textFill>
        </w:rPr>
        <w:t>料堆场，不定时洒水控制扬尘。</w:t>
      </w:r>
    </w:p>
    <w:p w14:paraId="33F2FE41">
      <w:pPr>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保持施工现场整洁有序，各种材料分类存放、堆码整齐，建筑垃圾及时清运处理，不从高处向下抛投建筑材料、施工用具及建筑垃圾。工地设保洁工或卫生值班人员，各工种完工后做到“工完料尽场地清”。现场场地进行“硬化”处理，做到场内道路平整、通畅、不积水，泥浆、废水不外流，不尘土飞扬，不排泄有毒有害气体。</w:t>
      </w:r>
    </w:p>
    <w:p w14:paraId="324F350D">
      <w:pPr>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（7）保证施工现场及周围人居环境良好，施工区、办公区、生活区原则上应明显分开或进行隔断。按规定设置食堂、饮水处、厕所、浴室并符合卫生要求。</w:t>
      </w:r>
    </w:p>
    <w:p w14:paraId="7B1136C9">
      <w:pPr>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（8）按规定设置现场标志牌（五牌一图）和安全警示标志，对涉及社会公众安全的，要在显著位置设置警示牌，并采取相应保护措施。</w:t>
      </w:r>
    </w:p>
    <w:p w14:paraId="229B5D6E">
      <w:pPr>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（9）重大安全事故按有关规定及时准确上报，并进行调查处理。</w:t>
      </w:r>
    </w:p>
    <w:p w14:paraId="04787AD2">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（10）自觉接受并积极配合建设单位的督促检查；建筑安全监管部门的监督管理，依法接受国家安全监察。</w:t>
      </w:r>
    </w:p>
    <w:p w14:paraId="2CC5D93D">
      <w:pPr>
        <w:spacing w:line="360" w:lineRule="auto"/>
        <w:ind w:firstLine="420" w:firstLineChars="200"/>
        <w:jc w:val="left"/>
        <w:rPr>
          <w:rFonts w:ascii="宋体" w:hAnsi="宋体"/>
          <w:color w:val="000000" w:themeColor="text1"/>
          <w:szCs w:val="21"/>
          <w:highlight w:val="none"/>
          <w:lang w:val="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w:t>
      </w:r>
      <w:r>
        <w:rPr>
          <w:rFonts w:hint="eastAsia" w:ascii="宋体" w:hAnsi="宋体"/>
          <w:color w:val="000000" w:themeColor="text1"/>
          <w:szCs w:val="21"/>
          <w:highlight w:val="none"/>
          <w:lang w:val="zh-CN"/>
          <w14:textFill>
            <w14:solidFill>
              <w14:schemeClr w14:val="tx1"/>
            </w14:solidFill>
          </w14:textFill>
        </w:rPr>
        <w:t xml:space="preserve">办公场所要求： </w:t>
      </w:r>
    </w:p>
    <w:p w14:paraId="0AB09FA7">
      <w:pPr>
        <w:spacing w:line="360" w:lineRule="auto"/>
        <w:ind w:firstLine="420" w:firstLineChars="200"/>
        <w:jc w:val="left"/>
        <w:rPr>
          <w:rFonts w:ascii="宋体" w:hAnsi="宋体"/>
          <w:color w:val="000000" w:themeColor="text1"/>
          <w:szCs w:val="21"/>
          <w:highlight w:val="none"/>
          <w:lang w:val="zh-CN"/>
          <w14:textFill>
            <w14:solidFill>
              <w14:schemeClr w14:val="tx1"/>
            </w14:solidFill>
          </w14:textFill>
        </w:rPr>
      </w:pPr>
      <w:r>
        <w:rPr>
          <w:rFonts w:hint="eastAsia" w:ascii="宋体" w:hAnsi="宋体"/>
          <w:color w:val="000000" w:themeColor="text1"/>
          <w:szCs w:val="21"/>
          <w:highlight w:val="none"/>
          <w:lang w:val="zh-CN"/>
          <w14:textFill>
            <w14:solidFill>
              <w14:schemeClr w14:val="tx1"/>
            </w14:solidFill>
          </w14:textFill>
        </w:rPr>
        <w:t>为保证服务的质量及便捷性，乙方应在辖区设置固定项目管理部，必须配备满足项目开展的办公室、物资材料仓储室、机械设备停放场以及相应的生活区。</w:t>
      </w:r>
    </w:p>
    <w:p w14:paraId="63AB851A">
      <w:pPr>
        <w:spacing w:line="360" w:lineRule="auto"/>
        <w:ind w:firstLine="420" w:firstLineChars="200"/>
        <w:jc w:val="left"/>
        <w:rPr>
          <w:rFonts w:ascii="宋体" w:hAnsi="宋体"/>
          <w:color w:val="000000" w:themeColor="text1"/>
          <w:szCs w:val="21"/>
          <w:highlight w:val="none"/>
          <w:lang w:val="zh-CN"/>
          <w14:textFill>
            <w14:solidFill>
              <w14:schemeClr w14:val="tx1"/>
            </w14:solidFill>
          </w14:textFill>
        </w:rPr>
      </w:pPr>
      <w:r>
        <w:rPr>
          <w:rFonts w:hint="eastAsia" w:ascii="宋体" w:hAnsi="宋体"/>
          <w:color w:val="000000" w:themeColor="text1"/>
          <w:szCs w:val="21"/>
          <w:highlight w:val="none"/>
          <w:lang w:val="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12</w:t>
      </w:r>
      <w:r>
        <w:rPr>
          <w:rFonts w:hint="eastAsia" w:ascii="宋体" w:hAnsi="宋体"/>
          <w:color w:val="000000" w:themeColor="text1"/>
          <w:szCs w:val="21"/>
          <w:highlight w:val="none"/>
          <w:lang w:val="zh-CN"/>
          <w14:textFill>
            <w14:solidFill>
              <w14:schemeClr w14:val="tx1"/>
            </w14:solidFill>
          </w14:textFill>
        </w:rPr>
        <w:t>）项目团队成员配备要求：</w:t>
      </w:r>
    </w:p>
    <w:p w14:paraId="631611F4">
      <w:pPr>
        <w:spacing w:line="360" w:lineRule="auto"/>
        <w:ind w:firstLine="420" w:firstLineChars="200"/>
        <w:jc w:val="left"/>
        <w:rPr>
          <w:rFonts w:ascii="宋体" w:hAnsi="宋体"/>
          <w:color w:val="000000" w:themeColor="text1"/>
          <w:szCs w:val="21"/>
          <w:highlight w:val="none"/>
          <w:lang w:val="zh-CN"/>
          <w14:textFill>
            <w14:solidFill>
              <w14:schemeClr w14:val="tx1"/>
            </w14:solidFill>
          </w14:textFill>
        </w:rPr>
      </w:pPr>
      <w:r>
        <w:rPr>
          <w:rFonts w:hint="eastAsia" w:ascii="宋体" w:hAnsi="宋体"/>
          <w:color w:val="000000" w:themeColor="text1"/>
          <w:szCs w:val="21"/>
          <w:highlight w:val="none"/>
          <w:lang w:val="zh-CN"/>
          <w14:textFill>
            <w14:solidFill>
              <w14:schemeClr w14:val="tx1"/>
            </w14:solidFill>
          </w14:textFill>
        </w:rPr>
        <w:t>乙方应成立项目管理组织机构，要求项目组成员结构合理、分工明确，并保证项目组成员具有相应资格或职称证书，持证上岗。项目组人员必须包含项目负责人、技术负责人、技术管理人员、安全专职人员、质检人员、资料员、专业的维修人员。项目所需的机械设备及工具都为乙方自备，甲方不提供任何机械设备及工具。</w:t>
      </w:r>
    </w:p>
    <w:p w14:paraId="6990DE41">
      <w:pPr>
        <w:spacing w:line="360" w:lineRule="auto"/>
        <w:ind w:firstLine="420" w:firstLineChars="200"/>
        <w:jc w:val="left"/>
        <w:rPr>
          <w:rFonts w:ascii="宋体" w:hAnsi="宋体"/>
          <w:color w:val="000000" w:themeColor="text1"/>
          <w:szCs w:val="21"/>
          <w:highlight w:val="none"/>
          <w:lang w:val="zh-CN"/>
          <w14:textFill>
            <w14:solidFill>
              <w14:schemeClr w14:val="tx1"/>
            </w14:solidFill>
          </w14:textFill>
        </w:rPr>
      </w:pPr>
      <w:r>
        <w:rPr>
          <w:rFonts w:hint="eastAsia" w:ascii="宋体" w:hAnsi="宋体"/>
          <w:color w:val="000000" w:themeColor="text1"/>
          <w:szCs w:val="21"/>
          <w:highlight w:val="none"/>
          <w:lang w:val="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13</w:t>
      </w:r>
      <w:r>
        <w:rPr>
          <w:rFonts w:hint="eastAsia" w:ascii="宋体" w:hAnsi="宋体"/>
          <w:color w:val="000000" w:themeColor="text1"/>
          <w:szCs w:val="21"/>
          <w:highlight w:val="none"/>
          <w:lang w:val="zh-CN"/>
          <w14:textFill>
            <w14:solidFill>
              <w14:schemeClr w14:val="tx1"/>
            </w14:solidFill>
          </w14:textFill>
        </w:rPr>
        <w:t>）安全文明施工要求：</w:t>
      </w:r>
    </w:p>
    <w:p w14:paraId="2C1116C8">
      <w:pPr>
        <w:spacing w:line="360" w:lineRule="auto"/>
        <w:ind w:firstLine="420" w:firstLineChars="200"/>
        <w:jc w:val="left"/>
        <w:rPr>
          <w:rFonts w:ascii="宋体" w:hAnsi="宋体"/>
          <w:color w:val="000000" w:themeColor="text1"/>
          <w:szCs w:val="21"/>
          <w:highlight w:val="none"/>
          <w:lang w:val="zh-CN"/>
          <w14:textFill>
            <w14:solidFill>
              <w14:schemeClr w14:val="tx1"/>
            </w14:solidFill>
          </w14:textFill>
        </w:rPr>
      </w:pPr>
      <w:r>
        <w:rPr>
          <w:rFonts w:hint="eastAsia" w:ascii="宋体" w:hAnsi="宋体"/>
          <w:color w:val="000000" w:themeColor="text1"/>
          <w:szCs w:val="21"/>
          <w:highlight w:val="none"/>
          <w:lang w:val="zh-CN"/>
          <w14:textFill>
            <w14:solidFill>
              <w14:schemeClr w14:val="tx1"/>
            </w14:solidFill>
          </w14:textFill>
        </w:rPr>
        <w:t>必须做好施工现场组织管理、文明施工，维护现场秩序，做到工完场清、道路畅通。根据施工现场采取不同的围挡方式进行围挡作业，并设有市政设施抢修施工告示牌，严禁用土头垃圾堆做防护。维修过程中当天产生的土堆、废渣、垃圾等应在当天维修结束后清理完毕，做到工完料尽场地清。建筑垃圾不得随意倾倒，由乙方自行联系运至辖区以外的建筑垃圾堆放场所并承担相应的费用。夜间应尽量减少噪声对周边居民以及企业的影响。</w:t>
      </w:r>
    </w:p>
    <w:p w14:paraId="0256CD97">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zh-CN"/>
          <w14:textFill>
            <w14:solidFill>
              <w14:schemeClr w14:val="tx1"/>
            </w14:solidFill>
          </w14:textFill>
        </w:rPr>
        <w:t>乙方对自有的施工人员人身及财产安全负责，对自己的人和机械设备购买保险及相应的劳保用具。</w:t>
      </w:r>
    </w:p>
    <w:p w14:paraId="480E6D49">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6.1.4 关于治安保卫的特别约定：</w:t>
      </w:r>
      <w:r>
        <w:rPr>
          <w:rFonts w:hint="eastAsia" w:ascii="宋体" w:hAnsi="宋体"/>
          <w:color w:val="000000" w:themeColor="text1"/>
          <w:szCs w:val="21"/>
          <w:highlight w:val="none"/>
          <w:u w:val="single"/>
          <w14:textFill>
            <w14:solidFill>
              <w14:schemeClr w14:val="tx1"/>
            </w14:solidFill>
          </w14:textFill>
        </w:rPr>
        <w:t>（1）施工现场内外由本项目承包人提供的生产区、办公区、生活区治安保卫工作由承包人全面负责；（2）上述区域内若发生群殴、械斗等群体性</w:t>
      </w:r>
      <w:r>
        <w:rPr>
          <w:rFonts w:hint="eastAsia" w:ascii="宋体" w:hAnsi="宋体"/>
          <w:color w:val="000000" w:themeColor="text1"/>
          <w:szCs w:val="21"/>
          <w:highlight w:val="none"/>
          <w:u w:val="single"/>
          <w:lang w:eastAsia="zh-CN"/>
          <w14:textFill>
            <w14:solidFill>
              <w14:schemeClr w14:val="tx1"/>
            </w14:solidFill>
          </w14:textFill>
        </w:rPr>
        <w:t>突发</w:t>
      </w:r>
      <w:r>
        <w:rPr>
          <w:rFonts w:hint="eastAsia" w:ascii="宋体" w:hAnsi="宋体"/>
          <w:color w:val="000000" w:themeColor="text1"/>
          <w:szCs w:val="21"/>
          <w:highlight w:val="none"/>
          <w:u w:val="single"/>
          <w14:textFill>
            <w14:solidFill>
              <w14:schemeClr w14:val="tx1"/>
            </w14:solidFill>
          </w14:textFill>
        </w:rPr>
        <w:t>治安事件的，每发生一起承包人对发包人支付违约金</w:t>
      </w:r>
      <w:r>
        <w:rPr>
          <w:rFonts w:ascii="宋体" w:hAnsi="宋体"/>
          <w:color w:val="000000" w:themeColor="text1"/>
          <w:szCs w:val="21"/>
          <w:highlight w:val="none"/>
          <w:u w:val="single"/>
          <w14:textFill>
            <w14:solidFill>
              <w14:schemeClr w14:val="tx1"/>
            </w14:solidFill>
          </w14:textFill>
        </w:rPr>
        <w:t>5000</w:t>
      </w:r>
      <w:r>
        <w:rPr>
          <w:rFonts w:hint="eastAsia" w:ascii="宋体" w:hAnsi="宋体"/>
          <w:color w:val="000000" w:themeColor="text1"/>
          <w:szCs w:val="21"/>
          <w:highlight w:val="none"/>
          <w:u w:val="single"/>
          <w14:textFill>
            <w14:solidFill>
              <w14:schemeClr w14:val="tx1"/>
            </w14:solidFill>
          </w14:textFill>
        </w:rPr>
        <w:t>元。</w:t>
      </w:r>
    </w:p>
    <w:p w14:paraId="4ADB717F">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关于编制施工场地治安管理计划的约定：</w:t>
      </w:r>
      <w:r>
        <w:rPr>
          <w:rFonts w:hint="eastAsia" w:ascii="宋体" w:hAnsi="宋体"/>
          <w:color w:val="000000" w:themeColor="text1"/>
          <w:szCs w:val="21"/>
          <w:highlight w:val="none"/>
          <w:u w:val="single"/>
          <w14:textFill>
            <w14:solidFill>
              <w14:schemeClr w14:val="tx1"/>
            </w14:solidFill>
          </w14:textFill>
        </w:rPr>
        <w:t>由承包人在工程开工后7天内编制施工场地治安管理计划</w:t>
      </w:r>
      <w:r>
        <w:rPr>
          <w:rFonts w:ascii="宋体" w:hAnsi="宋体"/>
          <w:color w:val="000000" w:themeColor="text1"/>
          <w:szCs w:val="21"/>
          <w:highlight w:val="none"/>
          <w14:textFill>
            <w14:solidFill>
              <w14:schemeClr w14:val="tx1"/>
            </w14:solidFill>
          </w14:textFill>
        </w:rPr>
        <w:t>。</w:t>
      </w:r>
    </w:p>
    <w:p w14:paraId="60A7CD7A">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6.1.5 文明施工</w:t>
      </w:r>
    </w:p>
    <w:p w14:paraId="20BF5A42">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合同当事人对文明施工的要求：</w:t>
      </w:r>
      <w:r>
        <w:rPr>
          <w:rFonts w:hint="eastAsia" w:ascii="宋体" w:hAnsi="宋体"/>
          <w:color w:val="000000" w:themeColor="text1"/>
          <w:szCs w:val="21"/>
          <w:highlight w:val="none"/>
          <w:u w:val="single"/>
          <w14:textFill>
            <w14:solidFill>
              <w14:schemeClr w14:val="tx1"/>
            </w14:solidFill>
          </w14:textFill>
        </w:rPr>
        <w:t>参照陕西省和西安市对文明工地的要求。</w:t>
      </w:r>
    </w:p>
    <w:p w14:paraId="304EE5FA">
      <w:pPr>
        <w:spacing w:line="360" w:lineRule="auto"/>
        <w:ind w:firstLine="420" w:firstLineChars="200"/>
        <w:jc w:val="left"/>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6.1.6 关于安全文明施工费支付比例和支付期限的约定：</w:t>
      </w:r>
      <w:r>
        <w:rPr>
          <w:rFonts w:hint="eastAsia" w:ascii="宋体" w:hAnsi="宋体"/>
          <w:color w:val="000000" w:themeColor="text1"/>
          <w:szCs w:val="21"/>
          <w:highlight w:val="none"/>
          <w:u w:val="single"/>
          <w14:textFill>
            <w14:solidFill>
              <w14:schemeClr w14:val="tx1"/>
            </w14:solidFill>
          </w14:textFill>
        </w:rPr>
        <w:t>安全文明施工措施费计入工程造价，并在开工前一次性100%足额给付承包方，承包方应当确保安全文明施工措施费专款专用，在财务管理中单独列出安全文明施工措施项目费用清单，承包方不得挪用安全文明施工措施项目费</w:t>
      </w:r>
      <w:r>
        <w:rPr>
          <w:rFonts w:ascii="宋体" w:hAnsi="宋体"/>
          <w:color w:val="000000" w:themeColor="text1"/>
          <w:szCs w:val="21"/>
          <w:highlight w:val="none"/>
          <w:u w:val="single"/>
          <w14:textFill>
            <w14:solidFill>
              <w14:schemeClr w14:val="tx1"/>
            </w14:solidFill>
          </w14:textFill>
        </w:rPr>
        <w:t>。</w:t>
      </w:r>
    </w:p>
    <w:p w14:paraId="11AC2A21">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6.1.9安全生产责任：</w:t>
      </w:r>
      <w:r>
        <w:rPr>
          <w:rFonts w:hint="eastAsia" w:ascii="宋体" w:hAnsi="宋体"/>
          <w:color w:val="000000" w:themeColor="text1"/>
          <w:szCs w:val="21"/>
          <w:highlight w:val="none"/>
          <w:u w:val="single"/>
          <w14:textFill>
            <w14:solidFill>
              <w14:schemeClr w14:val="tx1"/>
            </w14:solidFill>
          </w14:textFill>
        </w:rPr>
        <w:t>施工现场发生的一切安全事故由承包人承担全部责任及损失。</w:t>
      </w:r>
    </w:p>
    <w:bookmarkEnd w:id="112"/>
    <w:bookmarkEnd w:id="113"/>
    <w:bookmarkEnd w:id="114"/>
    <w:bookmarkEnd w:id="115"/>
    <w:bookmarkEnd w:id="116"/>
    <w:bookmarkEnd w:id="117"/>
    <w:bookmarkEnd w:id="118"/>
    <w:p w14:paraId="0B9DD8FE">
      <w:pPr>
        <w:pStyle w:val="5"/>
        <w:ind w:firstLine="0" w:firstLineChars="0"/>
        <w:rPr>
          <w:b/>
          <w:color w:val="000000" w:themeColor="text1"/>
          <w:highlight w:val="none"/>
          <w14:textFill>
            <w14:solidFill>
              <w14:schemeClr w14:val="tx1"/>
            </w14:solidFill>
          </w14:textFill>
        </w:rPr>
      </w:pPr>
      <w:bookmarkStart w:id="122" w:name="_Toc24747"/>
      <w:bookmarkStart w:id="123" w:name="_Toc351203639"/>
      <w:bookmarkStart w:id="124" w:name="_Toc29349"/>
      <w:r>
        <w:rPr>
          <w:rFonts w:hint="eastAsia"/>
          <w:b/>
          <w:color w:val="000000" w:themeColor="text1"/>
          <w:highlight w:val="none"/>
          <w14:textFill>
            <w14:solidFill>
              <w14:schemeClr w14:val="tx1"/>
            </w14:solidFill>
          </w14:textFill>
        </w:rPr>
        <w:t>7. 工期和进度</w:t>
      </w:r>
      <w:bookmarkEnd w:id="122"/>
      <w:bookmarkEnd w:id="123"/>
      <w:bookmarkEnd w:id="124"/>
    </w:p>
    <w:p w14:paraId="37168BBE">
      <w:pPr>
        <w:autoSpaceDE w:val="0"/>
        <w:autoSpaceDN w:val="0"/>
        <w:adjustRightInd w:val="0"/>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 xml:space="preserve">7.1.2 </w:t>
      </w:r>
      <w:r>
        <w:rPr>
          <w:rFonts w:ascii="宋体" w:hAnsi="宋体"/>
          <w:color w:val="000000" w:themeColor="text1"/>
          <w:kern w:val="0"/>
          <w:szCs w:val="21"/>
          <w:highlight w:val="none"/>
          <w14:textFill>
            <w14:solidFill>
              <w14:schemeClr w14:val="tx1"/>
            </w14:solidFill>
          </w14:textFill>
        </w:rPr>
        <w:t>施工组织设计的提交和修改</w:t>
      </w:r>
    </w:p>
    <w:p w14:paraId="49A3A388">
      <w:pPr>
        <w:autoSpaceDE w:val="0"/>
        <w:autoSpaceDN w:val="0"/>
        <w:adjustRightInd w:val="0"/>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承包人提交详细施工组织设计的期限的约定：</w:t>
      </w:r>
      <w:r>
        <w:rPr>
          <w:rFonts w:hint="eastAsia" w:ascii="宋体" w:hAnsi="宋体"/>
          <w:color w:val="000000" w:themeColor="text1"/>
          <w:kern w:val="0"/>
          <w:szCs w:val="21"/>
          <w:highlight w:val="none"/>
          <w:u w:val="single"/>
          <w14:textFill>
            <w14:solidFill>
              <w14:schemeClr w14:val="tx1"/>
            </w14:solidFill>
          </w14:textFill>
        </w:rPr>
        <w:t xml:space="preserve"> </w:t>
      </w:r>
      <w:r>
        <w:rPr>
          <w:rFonts w:ascii="宋体" w:hAnsi="宋体"/>
          <w:color w:val="000000" w:themeColor="text1"/>
          <w:kern w:val="0"/>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合同签订7天内     </w:t>
      </w:r>
      <w:r>
        <w:rPr>
          <w:rFonts w:ascii="宋体" w:hAnsi="宋体"/>
          <w:color w:val="000000" w:themeColor="text1"/>
          <w:szCs w:val="21"/>
          <w:highlight w:val="none"/>
          <w14:textFill>
            <w14:solidFill>
              <w14:schemeClr w14:val="tx1"/>
            </w14:solidFill>
          </w14:textFill>
        </w:rPr>
        <w:t>。</w:t>
      </w:r>
    </w:p>
    <w:p w14:paraId="40E728D6">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发包人在收到</w:t>
      </w:r>
      <w:r>
        <w:rPr>
          <w:rFonts w:hint="eastAsia" w:ascii="宋体" w:hAnsi="宋体"/>
          <w:color w:val="000000" w:themeColor="text1"/>
          <w:szCs w:val="21"/>
          <w:highlight w:val="none"/>
          <w14:textFill>
            <w14:solidFill>
              <w14:schemeClr w14:val="tx1"/>
            </w14:solidFill>
          </w14:textFill>
        </w:rPr>
        <w:t>详细的施工组织设计</w:t>
      </w:r>
      <w:r>
        <w:rPr>
          <w:rFonts w:ascii="宋体" w:hAnsi="宋体"/>
          <w:color w:val="000000" w:themeColor="text1"/>
          <w:szCs w:val="21"/>
          <w:highlight w:val="none"/>
          <w14:textFill>
            <w14:solidFill>
              <w14:schemeClr w14:val="tx1"/>
            </w14:solidFill>
          </w14:textFill>
        </w:rPr>
        <w:t>后确认或提出修改意见的期限：</w:t>
      </w:r>
      <w:r>
        <w:rPr>
          <w:rFonts w:hint="eastAsia" w:ascii="宋体" w:hAnsi="宋体"/>
          <w:color w:val="000000" w:themeColor="text1"/>
          <w:szCs w:val="21"/>
          <w:highlight w:val="none"/>
          <w:u w:val="single"/>
          <w14:textFill>
            <w14:solidFill>
              <w14:schemeClr w14:val="tx1"/>
            </w14:solidFill>
          </w14:textFill>
        </w:rPr>
        <w:t>执行通用条款</w:t>
      </w:r>
      <w:r>
        <w:rPr>
          <w:rFonts w:ascii="宋体" w:hAnsi="宋体"/>
          <w:color w:val="000000" w:themeColor="text1"/>
          <w:szCs w:val="21"/>
          <w:highlight w:val="none"/>
          <w14:textFill>
            <w14:solidFill>
              <w14:schemeClr w14:val="tx1"/>
            </w14:solidFill>
          </w14:textFill>
        </w:rPr>
        <w:t>。</w:t>
      </w:r>
    </w:p>
    <w:p w14:paraId="67948913">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w:t>
      </w:r>
      <w:bookmarkStart w:id="125" w:name="_Toc312678005"/>
      <w:bookmarkStart w:id="126" w:name="_Toc304295541"/>
      <w:bookmarkStart w:id="127" w:name="_Toc297216173"/>
      <w:bookmarkStart w:id="128" w:name="_Toc312677479"/>
      <w:bookmarkStart w:id="129" w:name="_Toc300934966"/>
      <w:bookmarkStart w:id="130" w:name="_Toc303539123"/>
      <w:bookmarkStart w:id="131" w:name="_Toc297123514"/>
      <w:r>
        <w:rPr>
          <w:rFonts w:ascii="宋体" w:hAnsi="宋体"/>
          <w:color w:val="000000" w:themeColor="text1"/>
          <w:szCs w:val="21"/>
          <w:highlight w:val="none"/>
          <w14:textFill>
            <w14:solidFill>
              <w14:schemeClr w14:val="tx1"/>
            </w14:solidFill>
          </w14:textFill>
        </w:rPr>
        <w:t>.2 施工进度计划</w:t>
      </w:r>
    </w:p>
    <w:p w14:paraId="1C6FE833">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7.2.2 施工进度计划的修订</w:t>
      </w:r>
    </w:p>
    <w:p w14:paraId="0070A0A8">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发包人在收到修订的施工进度计划后确认或提出修改意见的期限：</w:t>
      </w:r>
      <w:r>
        <w:rPr>
          <w:rFonts w:hint="eastAsia" w:ascii="宋体" w:hAnsi="宋体"/>
          <w:color w:val="000000" w:themeColor="text1"/>
          <w:szCs w:val="21"/>
          <w:highlight w:val="none"/>
          <w:u w:val="single"/>
          <w14:textFill>
            <w14:solidFill>
              <w14:schemeClr w14:val="tx1"/>
            </w14:solidFill>
          </w14:textFill>
        </w:rPr>
        <w:t>执行通用条款</w:t>
      </w:r>
      <w:r>
        <w:rPr>
          <w:rFonts w:ascii="宋体" w:hAnsi="宋体"/>
          <w:color w:val="000000" w:themeColor="text1"/>
          <w:szCs w:val="21"/>
          <w:highlight w:val="none"/>
          <w14:textFill>
            <w14:solidFill>
              <w14:schemeClr w14:val="tx1"/>
            </w14:solidFill>
          </w14:textFill>
        </w:rPr>
        <w:t>。</w:t>
      </w:r>
    </w:p>
    <w:p w14:paraId="6EF100C9">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7.3 开工</w:t>
      </w:r>
    </w:p>
    <w:p w14:paraId="4BCF0698">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7.3.1 开工准备</w:t>
      </w:r>
    </w:p>
    <w:p w14:paraId="29C8A3D5">
      <w:pPr>
        <w:spacing w:line="360" w:lineRule="auto"/>
        <w:ind w:firstLine="420" w:firstLineChars="200"/>
        <w:jc w:val="left"/>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关于承包人提交</w:t>
      </w:r>
      <w:r>
        <w:rPr>
          <w:rFonts w:ascii="宋体" w:hAnsi="宋体"/>
          <w:color w:val="000000" w:themeColor="text1"/>
          <w:kern w:val="0"/>
          <w:szCs w:val="21"/>
          <w:highlight w:val="none"/>
          <w14:textFill>
            <w14:solidFill>
              <w14:schemeClr w14:val="tx1"/>
            </w14:solidFill>
          </w14:textFill>
        </w:rPr>
        <w:t>工程开工报审表的期限：</w:t>
      </w:r>
      <w:r>
        <w:rPr>
          <w:rFonts w:hint="eastAsia" w:ascii="宋体" w:hAnsi="宋体"/>
          <w:color w:val="000000" w:themeColor="text1"/>
          <w:szCs w:val="21"/>
          <w:highlight w:val="none"/>
          <w:u w:val="single"/>
          <w14:textFill>
            <w14:solidFill>
              <w14:schemeClr w14:val="tx1"/>
            </w14:solidFill>
          </w14:textFill>
        </w:rPr>
        <w:t>合同签订后5天内，但不得晚于通用条款7.3.2项[开工通知]载明的开工日期前10天</w:t>
      </w:r>
      <w:r>
        <w:rPr>
          <w:rFonts w:ascii="宋体" w:hAnsi="宋体"/>
          <w:color w:val="000000" w:themeColor="text1"/>
          <w:szCs w:val="21"/>
          <w:highlight w:val="none"/>
          <w14:textFill>
            <w14:solidFill>
              <w14:schemeClr w14:val="tx1"/>
            </w14:solidFill>
          </w14:textFill>
        </w:rPr>
        <w:t>。</w:t>
      </w:r>
    </w:p>
    <w:p w14:paraId="7EA15358">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关于承包人应完成的其他开工准备工作及期限：</w:t>
      </w:r>
      <w:r>
        <w:rPr>
          <w:rFonts w:ascii="宋体" w:hAnsi="宋体"/>
          <w:color w:val="000000" w:themeColor="text1"/>
          <w:szCs w:val="21"/>
          <w:highlight w:val="none"/>
          <w:u w:val="single"/>
          <w14:textFill>
            <w14:solidFill>
              <w14:schemeClr w14:val="tx1"/>
            </w14:solidFill>
          </w14:textFill>
        </w:rPr>
        <w:t>扬尘治理专项方案</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合同签订后</w:t>
      </w:r>
      <w:r>
        <w:rPr>
          <w:rFonts w:hint="eastAsia" w:ascii="宋体" w:hAnsi="宋体"/>
          <w:color w:val="000000" w:themeColor="text1"/>
          <w:szCs w:val="21"/>
          <w:highlight w:val="none"/>
          <w:u w:val="single"/>
          <w14:textFill>
            <w14:solidFill>
              <w14:schemeClr w14:val="tx1"/>
            </w14:solidFill>
          </w14:textFill>
        </w:rPr>
        <w:t>15个日历天内</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bookmarkEnd w:id="125"/>
    <w:bookmarkEnd w:id="126"/>
    <w:bookmarkEnd w:id="127"/>
    <w:bookmarkEnd w:id="128"/>
    <w:bookmarkEnd w:id="129"/>
    <w:bookmarkEnd w:id="130"/>
    <w:bookmarkEnd w:id="131"/>
    <w:p w14:paraId="34E3C2D1">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w:t>
      </w:r>
      <w:bookmarkStart w:id="132" w:name="_Toc312677484"/>
      <w:bookmarkStart w:id="133" w:name="_Toc303539125"/>
      <w:bookmarkStart w:id="134" w:name="_Toc312678010"/>
      <w:bookmarkStart w:id="135" w:name="_Toc300934968"/>
      <w:bookmarkStart w:id="136" w:name="_Toc297216175"/>
      <w:bookmarkStart w:id="137" w:name="_Toc304295546"/>
      <w:bookmarkStart w:id="138" w:name="_Toc297123516"/>
      <w:r>
        <w:rPr>
          <w:rFonts w:ascii="宋体" w:hAnsi="宋体"/>
          <w:color w:val="000000" w:themeColor="text1"/>
          <w:szCs w:val="21"/>
          <w:highlight w:val="none"/>
          <w14:textFill>
            <w14:solidFill>
              <w14:schemeClr w14:val="tx1"/>
            </w14:solidFill>
          </w14:textFill>
        </w:rPr>
        <w:t>.5 工期延误</w:t>
      </w:r>
    </w:p>
    <w:bookmarkEnd w:id="132"/>
    <w:bookmarkEnd w:id="133"/>
    <w:bookmarkEnd w:id="134"/>
    <w:bookmarkEnd w:id="135"/>
    <w:bookmarkEnd w:id="136"/>
    <w:bookmarkEnd w:id="137"/>
    <w:bookmarkEnd w:id="138"/>
    <w:p w14:paraId="04787CFC">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bookmarkStart w:id="139" w:name="_Toc318581171"/>
      <w:bookmarkStart w:id="140" w:name="_Toc312678014"/>
      <w:r>
        <w:rPr>
          <w:rFonts w:ascii="宋体" w:hAnsi="宋体"/>
          <w:color w:val="000000" w:themeColor="text1"/>
          <w:szCs w:val="21"/>
          <w:highlight w:val="none"/>
          <w14:textFill>
            <w14:solidFill>
              <w14:schemeClr w14:val="tx1"/>
            </w14:solidFill>
          </w14:textFill>
        </w:rPr>
        <w:t>7.5.1 因发包人原因导致工期延误</w:t>
      </w:r>
    </w:p>
    <w:p w14:paraId="73214756">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（7）因发包人原因导致工期延误的其他情形：</w:t>
      </w:r>
      <w:r>
        <w:rPr>
          <w:rFonts w:ascii="宋体" w:hAnsi="宋体"/>
          <w:color w:val="000000" w:themeColor="text1"/>
          <w:szCs w:val="21"/>
          <w:highlight w:val="none"/>
          <w:u w:val="single"/>
          <w14:textFill>
            <w14:solidFill>
              <w14:schemeClr w14:val="tx1"/>
            </w14:solidFill>
          </w14:textFill>
        </w:rPr>
        <w:t xml:space="preserve"> 不可抗力，此延误工期须在</w:t>
      </w:r>
      <w:r>
        <w:rPr>
          <w:rFonts w:hint="eastAsia" w:ascii="宋体" w:hAnsi="宋体"/>
          <w:color w:val="000000" w:themeColor="text1"/>
          <w:szCs w:val="21"/>
          <w:highlight w:val="none"/>
          <w:u w:val="single"/>
          <w14:textFill>
            <w14:solidFill>
              <w14:schemeClr w14:val="tx1"/>
            </w14:solidFill>
          </w14:textFill>
        </w:rPr>
        <w:t>发生</w:t>
      </w:r>
      <w:r>
        <w:rPr>
          <w:rFonts w:ascii="宋体" w:hAnsi="宋体"/>
          <w:color w:val="000000" w:themeColor="text1"/>
          <w:szCs w:val="21"/>
          <w:highlight w:val="none"/>
          <w:u w:val="single"/>
          <w14:textFill>
            <w14:solidFill>
              <w14:schemeClr w14:val="tx1"/>
            </w14:solidFill>
          </w14:textFill>
        </w:rPr>
        <w:t>后</w:t>
      </w:r>
      <w:r>
        <w:rPr>
          <w:rFonts w:hint="eastAsia" w:ascii="宋体" w:hAnsi="宋体"/>
          <w:color w:val="000000" w:themeColor="text1"/>
          <w:szCs w:val="21"/>
          <w:highlight w:val="none"/>
          <w:u w:val="single"/>
          <w14:textFill>
            <w14:solidFill>
              <w14:schemeClr w14:val="tx1"/>
            </w14:solidFill>
          </w14:textFill>
        </w:rPr>
        <w:t>7</w:t>
      </w:r>
      <w:r>
        <w:rPr>
          <w:rFonts w:ascii="宋体" w:hAnsi="宋体"/>
          <w:color w:val="000000" w:themeColor="text1"/>
          <w:szCs w:val="21"/>
          <w:highlight w:val="none"/>
          <w:u w:val="single"/>
          <w14:textFill>
            <w14:solidFill>
              <w14:schemeClr w14:val="tx1"/>
            </w14:solidFill>
          </w14:textFill>
        </w:rPr>
        <w:t>天内办理</w:t>
      </w:r>
      <w:r>
        <w:rPr>
          <w:rFonts w:hint="eastAsia" w:ascii="宋体" w:hAnsi="宋体"/>
          <w:color w:val="000000" w:themeColor="text1"/>
          <w:szCs w:val="21"/>
          <w:highlight w:val="none"/>
          <w:u w:val="single"/>
          <w14:textFill>
            <w14:solidFill>
              <w14:schemeClr w14:val="tx1"/>
            </w14:solidFill>
          </w14:textFill>
        </w:rPr>
        <w:t>延期申请</w:t>
      </w:r>
      <w:r>
        <w:rPr>
          <w:rFonts w:ascii="宋体" w:hAnsi="宋体"/>
          <w:color w:val="000000" w:themeColor="text1"/>
          <w:szCs w:val="21"/>
          <w:highlight w:val="none"/>
          <w:u w:val="single"/>
          <w14:textFill>
            <w14:solidFill>
              <w14:schemeClr w14:val="tx1"/>
            </w14:solidFill>
          </w14:textFill>
        </w:rPr>
        <w:t>，逾期不予认可</w:t>
      </w:r>
      <w:r>
        <w:rPr>
          <w:rFonts w:ascii="宋体" w:hAnsi="宋体"/>
          <w:color w:val="000000" w:themeColor="text1"/>
          <w:szCs w:val="21"/>
          <w:highlight w:val="none"/>
          <w14:textFill>
            <w14:solidFill>
              <w14:schemeClr w14:val="tx1"/>
            </w14:solidFill>
          </w14:textFill>
        </w:rPr>
        <w:t>。</w:t>
      </w:r>
    </w:p>
    <w:p w14:paraId="0CC36F3E">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w:t>
      </w:r>
      <w:bookmarkStart w:id="141" w:name="_Toc318581169"/>
      <w:bookmarkStart w:id="142" w:name="_Toc312678012"/>
      <w:bookmarkStart w:id="143" w:name="_Toc312677486"/>
      <w:bookmarkStart w:id="144" w:name="_Toc303539127"/>
      <w:bookmarkStart w:id="145" w:name="_Toc300934970"/>
      <w:bookmarkStart w:id="146" w:name="_Toc297123518"/>
      <w:bookmarkStart w:id="147" w:name="_Toc304295548"/>
      <w:bookmarkStart w:id="148" w:name="_Toc297216177"/>
      <w:r>
        <w:rPr>
          <w:rFonts w:ascii="宋体" w:hAnsi="宋体"/>
          <w:color w:val="000000" w:themeColor="text1"/>
          <w:szCs w:val="21"/>
          <w:highlight w:val="none"/>
          <w14:textFill>
            <w14:solidFill>
              <w14:schemeClr w14:val="tx1"/>
            </w14:solidFill>
          </w14:textFill>
        </w:rPr>
        <w:t>.5.2 因承包人原因导致工期延误</w:t>
      </w:r>
    </w:p>
    <w:bookmarkEnd w:id="141"/>
    <w:bookmarkEnd w:id="142"/>
    <w:bookmarkEnd w:id="143"/>
    <w:p w14:paraId="02AE43F2">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因</w:t>
      </w:r>
      <w:bookmarkStart w:id="149" w:name="_Toc312677487"/>
      <w:bookmarkStart w:id="150" w:name="_Toc312678013"/>
      <w:bookmarkStart w:id="151" w:name="_Toc318581170"/>
      <w:r>
        <w:rPr>
          <w:rFonts w:ascii="宋体" w:hAnsi="宋体"/>
          <w:color w:val="000000" w:themeColor="text1"/>
          <w:szCs w:val="21"/>
          <w:highlight w:val="none"/>
          <w14:textFill>
            <w14:solidFill>
              <w14:schemeClr w14:val="tx1"/>
            </w14:solidFill>
          </w14:textFill>
        </w:rPr>
        <w:t>承包人原因造成工期延误，逾期竣工违约金的计算方法为：</w:t>
      </w:r>
      <w:bookmarkEnd w:id="144"/>
      <w:bookmarkEnd w:id="145"/>
      <w:bookmarkEnd w:id="146"/>
      <w:bookmarkEnd w:id="147"/>
      <w:bookmarkEnd w:id="148"/>
      <w:bookmarkEnd w:id="149"/>
      <w:bookmarkEnd w:id="150"/>
      <w:r>
        <w:rPr>
          <w:rFonts w:hint="eastAsia"/>
          <w:color w:val="000000" w:themeColor="text1"/>
          <w:szCs w:val="21"/>
          <w:highlight w:val="none"/>
          <w:u w:val="single"/>
          <w14:textFill>
            <w14:solidFill>
              <w14:schemeClr w14:val="tx1"/>
            </w14:solidFill>
          </w14:textFill>
        </w:rPr>
        <w:t>按投标</w:t>
      </w:r>
      <w:r>
        <w:rPr>
          <w:color w:val="000000" w:themeColor="text1"/>
          <w:szCs w:val="21"/>
          <w:highlight w:val="none"/>
          <w:u w:val="single"/>
          <w14:textFill>
            <w14:solidFill>
              <w14:schemeClr w14:val="tx1"/>
            </w14:solidFill>
          </w14:textFill>
        </w:rPr>
        <w:t>工期提前无奖励。</w:t>
      </w:r>
      <w:r>
        <w:rPr>
          <w:rFonts w:hint="eastAsia"/>
          <w:color w:val="000000" w:themeColor="text1"/>
          <w:szCs w:val="21"/>
          <w:highlight w:val="none"/>
          <w:u w:val="single"/>
          <w14:textFill>
            <w14:solidFill>
              <w14:schemeClr w14:val="tx1"/>
            </w14:solidFill>
          </w14:textFill>
        </w:rPr>
        <w:t>1）承包人工期每推迟一天除按合同价的万分之二处罚外，若影响发包人使用时，还应按合同总价的5‰向发包人支付使用违约金。2）因工程量变化引起的工期变化，本工程不予调整即总工期不变。</w:t>
      </w:r>
    </w:p>
    <w:bookmarkEnd w:id="151"/>
    <w:p w14:paraId="23FBD45A">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因承包人原因造成工期延误，逾期竣工违约金的上限：</w:t>
      </w:r>
      <w:r>
        <w:rPr>
          <w:rFonts w:hint="eastAsia"/>
          <w:color w:val="000000" w:themeColor="text1"/>
          <w:szCs w:val="21"/>
          <w:highlight w:val="none"/>
          <w:u w:val="single"/>
          <w14:textFill>
            <w14:solidFill>
              <w14:schemeClr w14:val="tx1"/>
            </w14:solidFill>
          </w14:textFill>
        </w:rPr>
        <w:t>无上限</w:t>
      </w:r>
      <w:r>
        <w:rPr>
          <w:rFonts w:ascii="宋体" w:hAnsi="宋体"/>
          <w:color w:val="000000" w:themeColor="text1"/>
          <w:szCs w:val="21"/>
          <w:highlight w:val="none"/>
          <w14:textFill>
            <w14:solidFill>
              <w14:schemeClr w14:val="tx1"/>
            </w14:solidFill>
          </w14:textFill>
        </w:rPr>
        <w:t>。</w:t>
      </w:r>
    </w:p>
    <w:bookmarkEnd w:id="139"/>
    <w:bookmarkEnd w:id="140"/>
    <w:p w14:paraId="4A0784F8">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w:t>
      </w:r>
      <w:bookmarkStart w:id="152" w:name="_Toc297216180"/>
      <w:bookmarkStart w:id="153" w:name="_Toc300934973"/>
      <w:bookmarkStart w:id="154" w:name="_Toc297123521"/>
      <w:bookmarkStart w:id="155" w:name="_Toc312678017"/>
      <w:bookmarkStart w:id="156" w:name="_Toc304295551"/>
      <w:bookmarkStart w:id="157" w:name="_Toc303539130"/>
      <w:r>
        <w:rPr>
          <w:rFonts w:ascii="宋体" w:hAnsi="宋体"/>
          <w:color w:val="000000" w:themeColor="text1"/>
          <w:szCs w:val="21"/>
          <w:highlight w:val="none"/>
          <w14:textFill>
            <w14:solidFill>
              <w14:schemeClr w14:val="tx1"/>
            </w14:solidFill>
          </w14:textFill>
        </w:rPr>
        <w:t>.7异常恶劣的气候条件</w:t>
      </w:r>
    </w:p>
    <w:bookmarkEnd w:id="152"/>
    <w:bookmarkEnd w:id="153"/>
    <w:bookmarkEnd w:id="154"/>
    <w:bookmarkEnd w:id="155"/>
    <w:bookmarkEnd w:id="156"/>
    <w:bookmarkEnd w:id="157"/>
    <w:p w14:paraId="5CBB3817">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发包人和承包人同意以下情形视为异常恶劣的气候条件：</w:t>
      </w:r>
    </w:p>
    <w:p w14:paraId="57A43AE0">
      <w:pPr>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w:t>
      </w:r>
      <w:r>
        <w:rPr>
          <w:rFonts w:hint="eastAsia" w:ascii="宋体" w:hAnsi="宋体" w:cs="宋体"/>
          <w:bCs/>
          <w:color w:val="000000" w:themeColor="text1"/>
          <w:szCs w:val="21"/>
          <w:highlight w:val="none"/>
          <w:u w:val="single"/>
          <w14:textFill>
            <w14:solidFill>
              <w14:schemeClr w14:val="tx1"/>
            </w14:solidFill>
          </w14:textFill>
        </w:rPr>
        <w:t xml:space="preserve">7级以上大风 </w:t>
      </w:r>
      <w:r>
        <w:rPr>
          <w:rFonts w:hint="eastAsia" w:ascii="宋体" w:hAnsi="宋体" w:cs="宋体"/>
          <w:color w:val="000000" w:themeColor="text1"/>
          <w:szCs w:val="21"/>
          <w:highlight w:val="none"/>
          <w14:textFill>
            <w14:solidFill>
              <w14:schemeClr w14:val="tx1"/>
            </w14:solidFill>
          </w14:textFill>
        </w:rPr>
        <w:t>。</w:t>
      </w:r>
    </w:p>
    <w:p w14:paraId="25EE3AC0">
      <w:pPr>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w:t>
      </w:r>
      <w:r>
        <w:rPr>
          <w:rFonts w:ascii="宋体" w:hAnsi="宋体" w:cs="宋体"/>
          <w:bCs/>
          <w:color w:val="000000" w:themeColor="text1"/>
          <w:szCs w:val="21"/>
          <w:highlight w:val="none"/>
          <w:u w:val="single"/>
          <w14:textFill>
            <w14:solidFill>
              <w14:schemeClr w14:val="tx1"/>
            </w14:solidFill>
          </w14:textFill>
        </w:rPr>
        <w:t>3小时内降雨量将达50毫米以上，或者已达50毫米以上且降雨可能持续</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w:t>
      </w:r>
    </w:p>
    <w:p w14:paraId="31CD3D1D">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w:t>
      </w:r>
      <w:r>
        <w:rPr>
          <w:rFonts w:hint="eastAsia" w:ascii="宋体" w:hAnsi="宋体" w:cs="宋体"/>
          <w:bCs/>
          <w:color w:val="000000" w:themeColor="text1"/>
          <w:szCs w:val="21"/>
          <w:highlight w:val="none"/>
          <w:u w:val="single"/>
          <w14:textFill>
            <w14:solidFill>
              <w14:schemeClr w14:val="tx1"/>
            </w14:solidFill>
          </w14:textFill>
        </w:rPr>
        <w:t>雾霾红色预警</w:t>
      </w:r>
      <w:r>
        <w:rPr>
          <w:rFonts w:ascii="宋体" w:hAnsi="宋体"/>
          <w:color w:val="000000" w:themeColor="text1"/>
          <w:szCs w:val="21"/>
          <w:highlight w:val="none"/>
          <w14:textFill>
            <w14:solidFill>
              <w14:schemeClr w14:val="tx1"/>
            </w14:solidFill>
          </w14:textFill>
        </w:rPr>
        <w:t>。</w:t>
      </w:r>
    </w:p>
    <w:p w14:paraId="337EF4E7">
      <w:pPr>
        <w:pStyle w:val="5"/>
        <w:ind w:firstLine="0" w:firstLineChars="0"/>
        <w:rPr>
          <w:b/>
          <w:color w:val="000000" w:themeColor="text1"/>
          <w:highlight w:val="none"/>
          <w14:textFill>
            <w14:solidFill>
              <w14:schemeClr w14:val="tx1"/>
            </w14:solidFill>
          </w14:textFill>
        </w:rPr>
      </w:pPr>
      <w:bookmarkStart w:id="158" w:name="_Toc7907"/>
      <w:bookmarkStart w:id="159" w:name="_Toc351203640"/>
      <w:bookmarkStart w:id="160" w:name="_Toc12877"/>
      <w:r>
        <w:rPr>
          <w:rFonts w:hint="eastAsia"/>
          <w:b/>
          <w:color w:val="000000" w:themeColor="text1"/>
          <w:highlight w:val="none"/>
          <w14:textFill>
            <w14:solidFill>
              <w14:schemeClr w14:val="tx1"/>
            </w14:solidFill>
          </w14:textFill>
        </w:rPr>
        <w:t>8. 材料与设备</w:t>
      </w:r>
      <w:bookmarkEnd w:id="158"/>
      <w:bookmarkEnd w:id="159"/>
      <w:bookmarkEnd w:id="160"/>
    </w:p>
    <w:bookmarkEnd w:id="102"/>
    <w:bookmarkEnd w:id="103"/>
    <w:bookmarkEnd w:id="104"/>
    <w:bookmarkEnd w:id="105"/>
    <w:bookmarkEnd w:id="106"/>
    <w:bookmarkEnd w:id="107"/>
    <w:bookmarkEnd w:id="108"/>
    <w:bookmarkEnd w:id="109"/>
    <w:bookmarkEnd w:id="110"/>
    <w:bookmarkEnd w:id="111"/>
    <w:p w14:paraId="5F79D5DC">
      <w:pPr>
        <w:spacing w:line="360" w:lineRule="auto"/>
        <w:ind w:firstLine="403" w:firstLineChars="192"/>
        <w:rPr>
          <w:color w:val="000000" w:themeColor="text1"/>
          <w:szCs w:val="21"/>
          <w:highlight w:val="none"/>
          <w14:textFill>
            <w14:solidFill>
              <w14:schemeClr w14:val="tx1"/>
            </w14:solidFill>
          </w14:textFill>
        </w:rPr>
      </w:pPr>
      <w:bookmarkStart w:id="161" w:name="_Toc312678020"/>
      <w:bookmarkStart w:id="162" w:name="_Toc318581173"/>
      <w:bookmarkStart w:id="163" w:name="_Toc300934980"/>
      <w:bookmarkStart w:id="164" w:name="_Toc296891208"/>
      <w:bookmarkStart w:id="165" w:name="_Toc296944507"/>
      <w:bookmarkStart w:id="166" w:name="_Toc297216187"/>
      <w:bookmarkStart w:id="167" w:name="_Toc303539137"/>
      <w:bookmarkStart w:id="168" w:name="_Toc297048354"/>
      <w:bookmarkStart w:id="169" w:name="_Toc312677494"/>
      <w:bookmarkStart w:id="170" w:name="_Toc297120468"/>
      <w:bookmarkStart w:id="171" w:name="_Toc304295557"/>
      <w:bookmarkStart w:id="172" w:name="_Toc297123528"/>
      <w:bookmarkStart w:id="173" w:name="_Toc296347167"/>
      <w:bookmarkStart w:id="174" w:name="_Toc296503168"/>
      <w:bookmarkStart w:id="175" w:name="_Toc280868655"/>
      <w:bookmarkStart w:id="176" w:name="_Toc280868656"/>
      <w:bookmarkStart w:id="177" w:name="_Toc267251424"/>
      <w:bookmarkStart w:id="178" w:name="_Toc296346669"/>
      <w:bookmarkStart w:id="179" w:name="_Toc296890996"/>
      <w:r>
        <w:rPr>
          <w:rFonts w:hint="eastAsia" w:ascii="宋体" w:hAnsi="宋体"/>
          <w:color w:val="000000" w:themeColor="text1"/>
          <w:szCs w:val="21"/>
          <w:highlight w:val="none"/>
          <w14:textFill>
            <w14:solidFill>
              <w14:schemeClr w14:val="tx1"/>
            </w14:solidFill>
          </w14:textFill>
        </w:rPr>
        <w:t>8.2</w:t>
      </w:r>
      <w:r>
        <w:rPr>
          <w:rFonts w:hint="eastAsia"/>
          <w:color w:val="000000" w:themeColor="text1"/>
          <w:szCs w:val="21"/>
          <w:highlight w:val="none"/>
          <w14:textFill>
            <w14:solidFill>
              <w14:schemeClr w14:val="tx1"/>
            </w14:solidFill>
          </w14:textFill>
        </w:rPr>
        <w:t>承包人采购材料与工程设备：</w:t>
      </w:r>
    </w:p>
    <w:p w14:paraId="20515F70">
      <w:pPr>
        <w:spacing w:line="360" w:lineRule="auto"/>
        <w:ind w:firstLine="403" w:firstLineChars="192"/>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u w:val="single"/>
          <w14:textFill>
            <w14:solidFill>
              <w14:schemeClr w14:val="tx1"/>
            </w14:solidFill>
          </w14:textFill>
        </w:rPr>
        <w:t>由发包人暂定价的材料设备必须经发包人认质认价和供应商审批程序后承包人方可采购，发包人认定的价格与暂定价差额计算材料价差，其差价部分只计取规费、安全文明施工费和税金。发包人暂定价或需认质认价的材料设备单价已包含全部费用（为工地出库价）。</w:t>
      </w:r>
    </w:p>
    <w:p w14:paraId="35599902">
      <w:pPr>
        <w:spacing w:line="360" w:lineRule="auto"/>
        <w:ind w:firstLine="403" w:firstLineChars="192"/>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u w:val="single"/>
          <w14:textFill>
            <w14:solidFill>
              <w14:schemeClr w14:val="tx1"/>
            </w14:solidFill>
          </w14:textFill>
        </w:rPr>
        <w:t>承包人采购的所有材料、设备，除满足采购文件要求外，且应达到国家规范或设计要求的“合格”及以上标准，且应符合国家、省市关于健康、节能、环保以及强制性认证等要求。由承包人自购的主要材料、设备必须经发包方</w:t>
      </w:r>
      <w:r>
        <w:rPr>
          <w:rFonts w:hint="eastAsia" w:ascii="宋体" w:hAnsi="宋体"/>
          <w:color w:val="000000" w:themeColor="text1"/>
          <w:szCs w:val="21"/>
          <w:highlight w:val="none"/>
          <w:u w:val="single"/>
          <w:lang w:eastAsia="zh-CN"/>
          <w14:textFill>
            <w14:solidFill>
              <w14:schemeClr w14:val="tx1"/>
            </w14:solidFill>
          </w14:textFill>
        </w:rPr>
        <w:t>认真</w:t>
      </w:r>
      <w:r>
        <w:rPr>
          <w:rFonts w:hint="eastAsia" w:ascii="宋体" w:hAnsi="宋体"/>
          <w:color w:val="000000" w:themeColor="text1"/>
          <w:szCs w:val="21"/>
          <w:highlight w:val="none"/>
          <w:u w:val="single"/>
          <w14:textFill>
            <w14:solidFill>
              <w14:schemeClr w14:val="tx1"/>
            </w14:solidFill>
          </w14:textFill>
        </w:rPr>
        <w:t>审批后，方可采购。如因材料、设备质量造成的工程损失由承包人负全部责任。</w:t>
      </w:r>
    </w:p>
    <w:p w14:paraId="27DA4B20">
      <w:pPr>
        <w:adjustRightInd w:val="0"/>
        <w:snapToGrid w:val="0"/>
        <w:spacing w:line="360" w:lineRule="auto"/>
        <w:ind w:firstLine="436" w:firstLineChars="208"/>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其他主要</w:t>
      </w:r>
      <w:r>
        <w:rPr>
          <w:rFonts w:hint="eastAsia" w:ascii="宋体" w:hAnsi="宋体"/>
          <w:color w:val="000000" w:themeColor="text1"/>
          <w:szCs w:val="21"/>
          <w:highlight w:val="none"/>
          <w14:textFill>
            <w14:solidFill>
              <w14:schemeClr w14:val="tx1"/>
            </w14:solidFill>
          </w14:textFill>
        </w:rPr>
        <w:t>材料价格调整约定：</w:t>
      </w:r>
    </w:p>
    <w:p w14:paraId="144C2FF4">
      <w:pPr>
        <w:adjustRightInd w:val="0"/>
        <w:snapToGrid w:val="0"/>
        <w:spacing w:line="360" w:lineRule="auto"/>
        <w:ind w:firstLine="436" w:firstLineChars="208"/>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u w:val="single"/>
          <w14:textFill>
            <w14:solidFill>
              <w14:schemeClr w14:val="tx1"/>
            </w14:solidFill>
          </w14:textFill>
        </w:rPr>
        <w:t>商品砼市场价中已含运费、泵送费、抗渗费</w:t>
      </w:r>
      <w:r>
        <w:rPr>
          <w:rFonts w:hint="eastAsia" w:ascii="宋体" w:hAnsi="宋体"/>
          <w:color w:val="000000" w:themeColor="text1"/>
          <w:szCs w:val="21"/>
          <w:highlight w:val="none"/>
          <w:u w:val="single"/>
          <w:lang w:eastAsia="zh-CN"/>
          <w14:textFill>
            <w14:solidFill>
              <w14:schemeClr w14:val="tx1"/>
            </w14:solidFill>
          </w14:textFill>
        </w:rPr>
        <w:t>及其他所需</w:t>
      </w:r>
      <w:r>
        <w:rPr>
          <w:rFonts w:hint="eastAsia" w:ascii="宋体" w:hAnsi="宋体"/>
          <w:color w:val="000000" w:themeColor="text1"/>
          <w:szCs w:val="21"/>
          <w:highlight w:val="none"/>
          <w:u w:val="single"/>
          <w14:textFill>
            <w14:solidFill>
              <w14:schemeClr w14:val="tx1"/>
            </w14:solidFill>
          </w14:textFill>
        </w:rPr>
        <w:t>添加剂等一切费用。</w:t>
      </w:r>
    </w:p>
    <w:p w14:paraId="5D479BC5">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color w:val="000000" w:themeColor="text1"/>
          <w:szCs w:val="21"/>
          <w:highlight w:val="none"/>
          <w:u w:val="single"/>
          <w14:textFill>
            <w14:solidFill>
              <w14:schemeClr w14:val="tx1"/>
            </w14:solidFill>
          </w14:textFill>
        </w:rPr>
        <w:t>承包人中标后，应在一周内提交总采购计划书（包括品牌、规格型号、数量、采购时间等内容）。在各批材料进场一周前，承包人应向发包人提交该批材料采购情况及说明。各批材料进场前应提前通知发包人进行现场复核确认。</w:t>
      </w:r>
    </w:p>
    <w:p w14:paraId="6126D354">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8</w:t>
      </w:r>
      <w:bookmarkStart w:id="180" w:name="_Toc296944506"/>
      <w:bookmarkStart w:id="181" w:name="_Toc292559372"/>
      <w:bookmarkStart w:id="182" w:name="_Toc303539136"/>
      <w:bookmarkStart w:id="183" w:name="_Toc280868654"/>
      <w:bookmarkStart w:id="184" w:name="_Toc297216186"/>
      <w:bookmarkStart w:id="185" w:name="_Toc296347166"/>
      <w:bookmarkStart w:id="186" w:name="_Toc297120467"/>
      <w:bookmarkStart w:id="187" w:name="_Toc297048353"/>
      <w:bookmarkStart w:id="188" w:name="_Toc300934979"/>
      <w:bookmarkStart w:id="189" w:name="_Toc296503167"/>
      <w:bookmarkStart w:id="190" w:name="_Toc296890995"/>
      <w:bookmarkStart w:id="191" w:name="_Toc297123527"/>
      <w:bookmarkStart w:id="192" w:name="_Toc296346668"/>
      <w:bookmarkStart w:id="193" w:name="_Toc312677493"/>
      <w:bookmarkStart w:id="194" w:name="_Toc312678019"/>
      <w:bookmarkStart w:id="195" w:name="_Toc304295556"/>
      <w:bookmarkStart w:id="196" w:name="_Toc296891207"/>
      <w:bookmarkStart w:id="197" w:name="_Toc292559877"/>
      <w:r>
        <w:rPr>
          <w:rFonts w:ascii="宋体" w:hAnsi="宋体"/>
          <w:color w:val="000000" w:themeColor="text1"/>
          <w:szCs w:val="21"/>
          <w:highlight w:val="none"/>
          <w14:textFill>
            <w14:solidFill>
              <w14:schemeClr w14:val="tx1"/>
            </w14:solidFill>
          </w14:textFill>
        </w:rPr>
        <w:t>.4材料与工程设备的保管与使用</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本项目采购材料与工程设备由承包人保管。</w:t>
      </w:r>
    </w:p>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p w14:paraId="07DE7141">
      <w:pPr>
        <w:spacing w:line="360" w:lineRule="auto"/>
        <w:ind w:firstLine="403" w:firstLineChars="192"/>
        <w:rPr>
          <w:rFonts w:ascii="宋体" w:hAnsi="宋体"/>
          <w:color w:val="000000" w:themeColor="text1"/>
          <w:szCs w:val="21"/>
          <w:highlight w:val="none"/>
          <w:u w:val="single"/>
          <w14:textFill>
            <w14:solidFill>
              <w14:schemeClr w14:val="tx1"/>
            </w14:solidFill>
          </w14:textFill>
        </w:rPr>
      </w:pPr>
      <w:bookmarkStart w:id="198" w:name="_Toc292559373"/>
      <w:bookmarkStart w:id="199" w:name="_Toc292559878"/>
      <w:r>
        <w:rPr>
          <w:color w:val="000000" w:themeColor="text1"/>
          <w:kern w:val="0"/>
          <w:szCs w:val="21"/>
          <w:highlight w:val="none"/>
          <w14:textFill>
            <w14:solidFill>
              <w14:schemeClr w14:val="tx1"/>
            </w14:solidFill>
          </w14:textFill>
        </w:rPr>
        <w:t xml:space="preserve">8.4.2 </w:t>
      </w:r>
      <w:r>
        <w:rPr>
          <w:rFonts w:hAnsi="宋体"/>
          <w:color w:val="000000" w:themeColor="text1"/>
          <w:kern w:val="0"/>
          <w:szCs w:val="21"/>
          <w:highlight w:val="none"/>
          <w14:textFill>
            <w14:solidFill>
              <w14:schemeClr w14:val="tx1"/>
            </w14:solidFill>
          </w14:textFill>
        </w:rPr>
        <w:t>承包人采购</w:t>
      </w:r>
      <w:r>
        <w:rPr>
          <w:rFonts w:hAnsi="宋体"/>
          <w:color w:val="000000" w:themeColor="text1"/>
          <w:szCs w:val="21"/>
          <w:highlight w:val="none"/>
          <w14:textFill>
            <w14:solidFill>
              <w14:schemeClr w14:val="tx1"/>
            </w14:solidFill>
          </w14:textFill>
        </w:rPr>
        <w:t>材料与</w:t>
      </w:r>
      <w:r>
        <w:rPr>
          <w:rFonts w:hAnsi="宋体"/>
          <w:color w:val="000000" w:themeColor="text1"/>
          <w:kern w:val="0"/>
          <w:szCs w:val="21"/>
          <w:highlight w:val="none"/>
          <w14:textFill>
            <w14:solidFill>
              <w14:schemeClr w14:val="tx1"/>
            </w14:solidFill>
          </w14:textFill>
        </w:rPr>
        <w:t>工程</w:t>
      </w:r>
      <w:r>
        <w:rPr>
          <w:rFonts w:hAnsi="宋体"/>
          <w:color w:val="000000" w:themeColor="text1"/>
          <w:szCs w:val="21"/>
          <w:highlight w:val="none"/>
          <w14:textFill>
            <w14:solidFill>
              <w14:schemeClr w14:val="tx1"/>
            </w14:solidFill>
          </w14:textFill>
        </w:rPr>
        <w:t>设备的保管与使用：</w:t>
      </w:r>
      <w:bookmarkEnd w:id="198"/>
      <w:bookmarkEnd w:id="199"/>
      <w:r>
        <w:rPr>
          <w:rFonts w:hAnsi="宋体"/>
          <w:color w:val="000000" w:themeColor="text1"/>
          <w:szCs w:val="21"/>
          <w:highlight w:val="none"/>
          <w:u w:val="single"/>
          <w14:textFill>
            <w14:solidFill>
              <w14:schemeClr w14:val="tx1"/>
            </w14:solidFill>
          </w14:textFill>
        </w:rPr>
        <w:t>执行通用条款。</w:t>
      </w:r>
    </w:p>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14:paraId="19D5136F">
      <w:pPr>
        <w:pStyle w:val="5"/>
        <w:ind w:firstLine="0" w:firstLineChars="0"/>
        <w:rPr>
          <w:b/>
          <w:color w:val="000000" w:themeColor="text1"/>
          <w:highlight w:val="none"/>
          <w14:textFill>
            <w14:solidFill>
              <w14:schemeClr w14:val="tx1"/>
            </w14:solidFill>
          </w14:textFill>
        </w:rPr>
      </w:pPr>
      <w:bookmarkStart w:id="200" w:name="_Toc297048359"/>
      <w:bookmarkStart w:id="201" w:name="_Toc292559883"/>
      <w:bookmarkStart w:id="202" w:name="_Toc296503173"/>
      <w:bookmarkStart w:id="203" w:name="_Toc296347172"/>
      <w:bookmarkStart w:id="204" w:name="_Toc296891001"/>
      <w:bookmarkStart w:id="205" w:name="_Toc296891213"/>
      <w:bookmarkStart w:id="206" w:name="_Toc267251428"/>
      <w:bookmarkStart w:id="207" w:name="_Toc267251427"/>
      <w:bookmarkStart w:id="208" w:name="_Toc296944512"/>
      <w:bookmarkStart w:id="209" w:name="_Toc296346674"/>
      <w:bookmarkStart w:id="210" w:name="_Toc297120473"/>
      <w:bookmarkStart w:id="211" w:name="_Toc292559378"/>
      <w:bookmarkStart w:id="212" w:name="_Toc12765"/>
      <w:bookmarkStart w:id="213" w:name="_Toc30001"/>
      <w:bookmarkStart w:id="214" w:name="_Toc351203642"/>
      <w:r>
        <w:rPr>
          <w:rFonts w:hint="eastAsia"/>
          <w:b/>
          <w:color w:val="000000" w:themeColor="text1"/>
          <w:highlight w:val="none"/>
          <w14:textFill>
            <w14:solidFill>
              <w14:schemeClr w14:val="tx1"/>
            </w14:solidFill>
          </w14:textFill>
        </w:rPr>
        <w:t>1</w:t>
      </w:r>
      <w:bookmarkEnd w:id="200"/>
      <w:bookmarkEnd w:id="201"/>
      <w:bookmarkEnd w:id="202"/>
      <w:bookmarkEnd w:id="203"/>
      <w:bookmarkEnd w:id="204"/>
      <w:bookmarkEnd w:id="205"/>
      <w:bookmarkEnd w:id="206"/>
      <w:bookmarkEnd w:id="207"/>
      <w:bookmarkEnd w:id="208"/>
      <w:bookmarkEnd w:id="209"/>
      <w:bookmarkEnd w:id="210"/>
      <w:bookmarkEnd w:id="211"/>
      <w:bookmarkStart w:id="215" w:name="_Toc296346694"/>
      <w:bookmarkStart w:id="216" w:name="_Toc292559903"/>
      <w:bookmarkStart w:id="217" w:name="_Toc297048379"/>
      <w:bookmarkStart w:id="218" w:name="_Toc304295566"/>
      <w:bookmarkStart w:id="219" w:name="_Toc296891233"/>
      <w:bookmarkStart w:id="220" w:name="_Toc297216199"/>
      <w:bookmarkStart w:id="221" w:name="_Toc292559398"/>
      <w:bookmarkStart w:id="222" w:name="_Toc300934989"/>
      <w:bookmarkStart w:id="223" w:name="_Toc296347192"/>
      <w:bookmarkStart w:id="224" w:name="_Toc297120493"/>
      <w:bookmarkStart w:id="225" w:name="_Toc296944532"/>
      <w:bookmarkStart w:id="226" w:name="_Toc303539146"/>
      <w:bookmarkStart w:id="227" w:name="_Toc297123540"/>
      <w:bookmarkStart w:id="228" w:name="_Toc296891021"/>
      <w:bookmarkStart w:id="229" w:name="_Toc296503193"/>
      <w:bookmarkStart w:id="230" w:name="_Toc312678025"/>
      <w:bookmarkStart w:id="231" w:name="_Toc312677499"/>
      <w:bookmarkStart w:id="232" w:name="_Toc267251437"/>
      <w:bookmarkStart w:id="233" w:name="_Toc267251439"/>
      <w:bookmarkStart w:id="234" w:name="_Toc267251441"/>
      <w:bookmarkStart w:id="235" w:name="_Toc267251433"/>
      <w:bookmarkStart w:id="236" w:name="_Toc267251435"/>
      <w:bookmarkStart w:id="237" w:name="_Toc267251440"/>
      <w:bookmarkStart w:id="238" w:name="_Toc267251442"/>
      <w:r>
        <w:rPr>
          <w:rFonts w:hint="eastAsia"/>
          <w:b/>
          <w:color w:val="000000" w:themeColor="text1"/>
          <w:highlight w:val="none"/>
          <w14:textFill>
            <w14:solidFill>
              <w14:schemeClr w14:val="tx1"/>
            </w14:solidFill>
          </w14:textFill>
        </w:rPr>
        <w:t>0. 变更</w:t>
      </w:r>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bookmarkEnd w:id="230"/>
    <w:bookmarkEnd w:id="231"/>
    <w:p w14:paraId="7A62A4CE">
      <w:pPr>
        <w:spacing w:line="360" w:lineRule="auto"/>
        <w:ind w:firstLine="420" w:firstLineChars="200"/>
        <w:rPr>
          <w:rFonts w:ascii="宋体" w:hAnsi="宋体"/>
          <w:color w:val="000000" w:themeColor="text1"/>
          <w:szCs w:val="21"/>
          <w:highlight w:val="none"/>
          <w14:textFill>
            <w14:solidFill>
              <w14:schemeClr w14:val="tx1"/>
            </w14:solidFill>
          </w14:textFill>
        </w:rPr>
      </w:pPr>
      <w:bookmarkStart w:id="239" w:name="_Toc296891234"/>
      <w:bookmarkStart w:id="240" w:name="_Toc297216200"/>
      <w:bookmarkStart w:id="241" w:name="_Toc304295567"/>
      <w:bookmarkStart w:id="242" w:name="_Toc297123541"/>
      <w:bookmarkStart w:id="243" w:name="_Toc296891022"/>
      <w:bookmarkStart w:id="244" w:name="_Toc296347193"/>
      <w:bookmarkStart w:id="245" w:name="_Toc312677500"/>
      <w:bookmarkStart w:id="246" w:name="_Toc297120494"/>
      <w:bookmarkStart w:id="247" w:name="_Toc303539147"/>
      <w:bookmarkStart w:id="248" w:name="_Toc312678026"/>
      <w:bookmarkStart w:id="249" w:name="_Toc296346695"/>
      <w:bookmarkStart w:id="250" w:name="_Toc292559904"/>
      <w:bookmarkStart w:id="251" w:name="_Toc292559399"/>
      <w:bookmarkStart w:id="252" w:name="_Toc300934990"/>
      <w:bookmarkStart w:id="253" w:name="_Toc296944533"/>
      <w:bookmarkStart w:id="254" w:name="_Toc297048380"/>
      <w:bookmarkStart w:id="255" w:name="_Toc296503194"/>
      <w:r>
        <w:rPr>
          <w:rFonts w:ascii="宋体" w:hAnsi="宋体"/>
          <w:color w:val="000000" w:themeColor="text1"/>
          <w:szCs w:val="21"/>
          <w:highlight w:val="none"/>
          <w14:textFill>
            <w14:solidFill>
              <w14:schemeClr w14:val="tx1"/>
            </w14:solidFill>
          </w14:textFill>
        </w:rPr>
        <w:t>10.1变更的范围</w:t>
      </w:r>
    </w:p>
    <w:p w14:paraId="69686D63">
      <w:pPr>
        <w:spacing w:line="360" w:lineRule="auto"/>
        <w:ind w:firstLine="600"/>
        <w:jc w:val="left"/>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关于变更的范围的约定</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除通用条款外，承包人在施工中提出的合理化建议</w:t>
      </w:r>
      <w:r>
        <w:rPr>
          <w:rFonts w:hint="eastAsia" w:ascii="宋体" w:hAnsi="宋体"/>
          <w:color w:val="000000" w:themeColor="text1"/>
          <w:szCs w:val="21"/>
          <w:highlight w:val="none"/>
          <w:u w:val="single"/>
          <w:lang w:eastAsia="zh-CN"/>
          <w14:textFill>
            <w14:solidFill>
              <w14:schemeClr w14:val="tx1"/>
            </w14:solidFill>
          </w14:textFill>
        </w:rPr>
        <w:t>涉及</w:t>
      </w:r>
      <w:r>
        <w:rPr>
          <w:rFonts w:hint="eastAsia" w:ascii="宋体" w:hAnsi="宋体"/>
          <w:color w:val="000000" w:themeColor="text1"/>
          <w:szCs w:val="21"/>
          <w:highlight w:val="none"/>
          <w:u w:val="single"/>
          <w14:textFill>
            <w14:solidFill>
              <w14:schemeClr w14:val="tx1"/>
            </w14:solidFill>
          </w14:textFill>
        </w:rPr>
        <w:t>对设计图纸或施工组织设计的更改及对材料、设备的换用，须经报发包人批准后以设计变更单的形式通知承包人实施，否则不作为工程设计变更对待。</w:t>
      </w:r>
    </w:p>
    <w:p w14:paraId="64586455">
      <w:pPr>
        <w:spacing w:line="360" w:lineRule="auto"/>
        <w:ind w:firstLine="600"/>
        <w:jc w:val="left"/>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u w:val="single"/>
          <w14:textFill>
            <w14:solidFill>
              <w14:schemeClr w14:val="tx1"/>
            </w14:solidFill>
          </w14:textFill>
        </w:rPr>
        <w:t>任何变更的提出都应当依据合同或国家有关规范和标准提出。任何变更都必须取得发包人的确认。</w:t>
      </w:r>
    </w:p>
    <w:p w14:paraId="3BEFC919">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10.4 变更估价</w:t>
      </w:r>
    </w:p>
    <w:p w14:paraId="61B1E691">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10.4.1 变更估价原则</w:t>
      </w:r>
    </w:p>
    <w:p w14:paraId="0DB36F3D">
      <w:pPr>
        <w:widowControl/>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关于变更估价的约定</w:t>
      </w:r>
      <w:r>
        <w:rPr>
          <w:rFonts w:hint="eastAsia" w:ascii="宋体" w:hAnsi="宋体"/>
          <w:color w:val="000000" w:themeColor="text1"/>
          <w:szCs w:val="21"/>
          <w:highlight w:val="none"/>
          <w14:textFill>
            <w14:solidFill>
              <w14:schemeClr w14:val="tx1"/>
            </w14:solidFill>
          </w14:textFill>
        </w:rPr>
        <w:t>：</w:t>
      </w:r>
    </w:p>
    <w:p w14:paraId="5B9CE20A">
      <w:pPr>
        <w:widowControl/>
        <w:spacing w:line="360" w:lineRule="auto"/>
        <w:ind w:firstLine="420" w:firstLineChars="200"/>
        <w:jc w:val="left"/>
        <w:rPr>
          <w:color w:val="000000" w:themeColor="text1"/>
          <w:szCs w:val="21"/>
          <w:highlight w:val="none"/>
          <w:u w:val="single"/>
          <w14:textFill>
            <w14:solidFill>
              <w14:schemeClr w14:val="tx1"/>
            </w14:solidFill>
          </w14:textFill>
        </w:rPr>
      </w:pPr>
      <w:r>
        <w:rPr>
          <w:rFonts w:hint="eastAsia"/>
          <w:color w:val="000000" w:themeColor="text1"/>
          <w:szCs w:val="21"/>
          <w:highlight w:val="none"/>
          <w:u w:val="single"/>
          <w14:textFill>
            <w14:solidFill>
              <w14:schemeClr w14:val="tx1"/>
            </w14:solidFill>
          </w14:textFill>
        </w:rPr>
        <w:t>（1）</w:t>
      </w:r>
      <w:r>
        <w:rPr>
          <w:color w:val="000000" w:themeColor="text1"/>
          <w:szCs w:val="21"/>
          <w:highlight w:val="none"/>
          <w:u w:val="single"/>
          <w14:textFill>
            <w14:solidFill>
              <w14:schemeClr w14:val="tx1"/>
            </w14:solidFill>
          </w14:textFill>
        </w:rPr>
        <w:t>为避免不平衡报价</w:t>
      </w:r>
      <w:r>
        <w:rPr>
          <w:rFonts w:hint="eastAsia"/>
          <w:color w:val="000000" w:themeColor="text1"/>
          <w:szCs w:val="21"/>
          <w:highlight w:val="none"/>
          <w:u w:val="single"/>
          <w14:textFill>
            <w14:solidFill>
              <w14:schemeClr w14:val="tx1"/>
            </w14:solidFill>
          </w14:textFill>
        </w:rPr>
        <w:t>，</w:t>
      </w:r>
      <w:r>
        <w:rPr>
          <w:color w:val="000000" w:themeColor="text1"/>
          <w:szCs w:val="21"/>
          <w:highlight w:val="none"/>
          <w:u w:val="single"/>
          <w14:textFill>
            <w14:solidFill>
              <w14:schemeClr w14:val="tx1"/>
            </w14:solidFill>
          </w14:textFill>
        </w:rPr>
        <w:t>本项目同一类型的工程量清单投标报价应基本一致</w:t>
      </w:r>
      <w:r>
        <w:rPr>
          <w:rFonts w:hint="eastAsia"/>
          <w:color w:val="000000" w:themeColor="text1"/>
          <w:szCs w:val="21"/>
          <w:highlight w:val="none"/>
          <w:u w:val="single"/>
          <w14:textFill>
            <w14:solidFill>
              <w14:schemeClr w14:val="tx1"/>
            </w14:solidFill>
          </w14:textFill>
        </w:rPr>
        <w:t>，</w:t>
      </w:r>
      <w:r>
        <w:rPr>
          <w:color w:val="000000" w:themeColor="text1"/>
          <w:szCs w:val="21"/>
          <w:highlight w:val="none"/>
          <w:u w:val="single"/>
          <w14:textFill>
            <w14:solidFill>
              <w14:schemeClr w14:val="tx1"/>
            </w14:solidFill>
          </w14:textFill>
        </w:rPr>
        <w:t>若出现重大偏离</w:t>
      </w:r>
      <w:r>
        <w:rPr>
          <w:rFonts w:hint="eastAsia"/>
          <w:color w:val="000000" w:themeColor="text1"/>
          <w:szCs w:val="21"/>
          <w:highlight w:val="none"/>
          <w:u w:val="single"/>
          <w14:textFill>
            <w14:solidFill>
              <w14:schemeClr w14:val="tx1"/>
            </w14:solidFill>
          </w14:textFill>
        </w:rPr>
        <w:t>，</w:t>
      </w:r>
      <w:r>
        <w:rPr>
          <w:color w:val="000000" w:themeColor="text1"/>
          <w:szCs w:val="21"/>
          <w:highlight w:val="none"/>
          <w:u w:val="single"/>
          <w14:textFill>
            <w14:solidFill>
              <w14:schemeClr w14:val="tx1"/>
            </w14:solidFill>
          </w14:textFill>
        </w:rPr>
        <w:t>在施工过程中</w:t>
      </w:r>
      <w:r>
        <w:rPr>
          <w:rFonts w:hint="eastAsia"/>
          <w:color w:val="000000" w:themeColor="text1"/>
          <w:szCs w:val="21"/>
          <w:highlight w:val="none"/>
          <w:u w:val="single"/>
          <w14:textFill>
            <w14:solidFill>
              <w14:schemeClr w14:val="tx1"/>
            </w14:solidFill>
          </w14:textFill>
        </w:rPr>
        <w:t>，发包人</w:t>
      </w:r>
      <w:r>
        <w:rPr>
          <w:color w:val="000000" w:themeColor="text1"/>
          <w:szCs w:val="21"/>
          <w:highlight w:val="none"/>
          <w:u w:val="single"/>
          <w14:textFill>
            <w14:solidFill>
              <w14:schemeClr w14:val="tx1"/>
            </w14:solidFill>
          </w14:textFill>
        </w:rPr>
        <w:t>有权按照报价低的投标报价进行调整</w:t>
      </w:r>
      <w:r>
        <w:rPr>
          <w:rFonts w:hint="eastAsia"/>
          <w:color w:val="000000" w:themeColor="text1"/>
          <w:szCs w:val="21"/>
          <w:highlight w:val="none"/>
          <w:u w:val="single"/>
          <w14:textFill>
            <w14:solidFill>
              <w14:schemeClr w14:val="tx1"/>
            </w14:solidFill>
          </w14:textFill>
        </w:rPr>
        <w:t>。</w:t>
      </w:r>
    </w:p>
    <w:p w14:paraId="72DF5670">
      <w:pPr>
        <w:spacing w:line="360" w:lineRule="auto"/>
        <w:ind w:firstLine="403" w:firstLineChars="192"/>
        <w:rPr>
          <w:color w:val="000000" w:themeColor="text1"/>
          <w:szCs w:val="21"/>
          <w:highlight w:val="none"/>
          <w:u w:val="single"/>
          <w14:textFill>
            <w14:solidFill>
              <w14:schemeClr w14:val="tx1"/>
            </w14:solidFill>
          </w14:textFill>
        </w:rPr>
      </w:pPr>
      <w:r>
        <w:rPr>
          <w:rFonts w:hint="eastAsia"/>
          <w:color w:val="000000" w:themeColor="text1"/>
          <w:szCs w:val="21"/>
          <w:highlight w:val="none"/>
          <w:u w:val="single"/>
          <w14:textFill>
            <w14:solidFill>
              <w14:schemeClr w14:val="tx1"/>
            </w14:solidFill>
          </w14:textFill>
        </w:rPr>
        <w:t>（2）</w:t>
      </w:r>
      <w:r>
        <w:rPr>
          <w:color w:val="000000" w:themeColor="text1"/>
          <w:szCs w:val="21"/>
          <w:highlight w:val="none"/>
          <w:u w:val="single"/>
          <w14:textFill>
            <w14:solidFill>
              <w14:schemeClr w14:val="tx1"/>
            </w14:solidFill>
          </w14:textFill>
        </w:rPr>
        <w:t>在本工程施工过程中，若发生设计变更，清单中</w:t>
      </w:r>
      <w:r>
        <w:rPr>
          <w:rFonts w:hint="eastAsia"/>
          <w:color w:val="000000" w:themeColor="text1"/>
          <w:szCs w:val="21"/>
          <w:highlight w:val="none"/>
          <w:u w:val="single"/>
          <w14:textFill>
            <w14:solidFill>
              <w14:schemeClr w14:val="tx1"/>
            </w14:solidFill>
          </w14:textFill>
        </w:rPr>
        <w:t>工程量偏差，漏项及新增变更项目</w:t>
      </w:r>
      <w:r>
        <w:rPr>
          <w:color w:val="000000" w:themeColor="text1"/>
          <w:szCs w:val="21"/>
          <w:highlight w:val="none"/>
          <w:u w:val="single"/>
          <w14:textFill>
            <w14:solidFill>
              <w14:schemeClr w14:val="tx1"/>
            </w14:solidFill>
          </w14:textFill>
        </w:rPr>
        <w:t>发生时，工程量以实际签证量为准</w:t>
      </w:r>
      <w:r>
        <w:rPr>
          <w:rFonts w:hint="eastAsia"/>
          <w:color w:val="000000" w:themeColor="text1"/>
          <w:szCs w:val="21"/>
          <w:highlight w:val="none"/>
          <w:u w:val="single"/>
          <w14:textFill>
            <w14:solidFill>
              <w14:schemeClr w14:val="tx1"/>
            </w14:solidFill>
          </w14:textFill>
        </w:rPr>
        <w:t>，所</w:t>
      </w:r>
      <w:r>
        <w:rPr>
          <w:color w:val="000000" w:themeColor="text1"/>
          <w:szCs w:val="21"/>
          <w:highlight w:val="none"/>
          <w:u w:val="single"/>
          <w14:textFill>
            <w14:solidFill>
              <w14:schemeClr w14:val="tx1"/>
            </w14:solidFill>
          </w14:textFill>
        </w:rPr>
        <w:t>发生的工程量按</w:t>
      </w:r>
      <w:r>
        <w:rPr>
          <w:rFonts w:hint="eastAsia"/>
          <w:color w:val="000000" w:themeColor="text1"/>
          <w:szCs w:val="21"/>
          <w:highlight w:val="none"/>
          <w:u w:val="single"/>
          <w14:textFill>
            <w14:solidFill>
              <w14:schemeClr w14:val="tx1"/>
            </w14:solidFill>
          </w14:textFill>
        </w:rPr>
        <w:t>合同授予时双方确认的综合单价进行</w:t>
      </w:r>
      <w:r>
        <w:rPr>
          <w:color w:val="000000" w:themeColor="text1"/>
          <w:szCs w:val="21"/>
          <w:highlight w:val="none"/>
          <w:u w:val="single"/>
          <w14:textFill>
            <w14:solidFill>
              <w14:schemeClr w14:val="tx1"/>
            </w14:solidFill>
          </w14:textFill>
        </w:rPr>
        <w:t>结算。</w:t>
      </w:r>
    </w:p>
    <w:p w14:paraId="681FB35A">
      <w:pPr>
        <w:spacing w:line="360" w:lineRule="auto"/>
        <w:ind w:firstLine="403" w:firstLineChars="192"/>
        <w:rPr>
          <w:color w:val="000000" w:themeColor="text1"/>
          <w:szCs w:val="21"/>
          <w:highlight w:val="none"/>
          <w:u w:val="single"/>
          <w14:textFill>
            <w14:solidFill>
              <w14:schemeClr w14:val="tx1"/>
            </w14:solidFill>
          </w14:textFill>
        </w:rPr>
      </w:pPr>
      <w:r>
        <w:rPr>
          <w:rFonts w:hint="eastAsia"/>
          <w:color w:val="000000" w:themeColor="text1"/>
          <w:szCs w:val="21"/>
          <w:highlight w:val="none"/>
          <w:u w:val="single"/>
          <w14:textFill>
            <w14:solidFill>
              <w14:schemeClr w14:val="tx1"/>
            </w14:solidFill>
          </w14:textFill>
        </w:rPr>
        <w:t>（3）变更合同价款其对应的综合单价按下列方法进行调整：</w:t>
      </w:r>
    </w:p>
    <w:p w14:paraId="581ECF0F">
      <w:pPr>
        <w:spacing w:line="360" w:lineRule="auto"/>
        <w:ind w:firstLine="403" w:firstLineChars="192"/>
        <w:rPr>
          <w:color w:val="000000" w:themeColor="text1"/>
          <w:szCs w:val="21"/>
          <w:highlight w:val="none"/>
          <w:u w:val="single"/>
          <w14:textFill>
            <w14:solidFill>
              <w14:schemeClr w14:val="tx1"/>
            </w14:solidFill>
          </w14:textFill>
        </w:rPr>
      </w:pPr>
      <w:r>
        <w:rPr>
          <w:rFonts w:hint="eastAsia"/>
          <w:color w:val="000000" w:themeColor="text1"/>
          <w:szCs w:val="21"/>
          <w:highlight w:val="none"/>
          <w:u w:val="single"/>
          <w14:textFill>
            <w14:solidFill>
              <w14:schemeClr w14:val="tx1"/>
            </w14:solidFill>
          </w14:textFill>
        </w:rPr>
        <w:t>①合同中已有适用于变更工程的价格，按相应项目合同已确认的综合单价办理结算；</w:t>
      </w:r>
    </w:p>
    <w:p w14:paraId="6BF060CB">
      <w:pPr>
        <w:spacing w:line="360" w:lineRule="auto"/>
        <w:ind w:firstLine="403" w:firstLineChars="192"/>
        <w:rPr>
          <w:color w:val="000000" w:themeColor="text1"/>
          <w:szCs w:val="21"/>
          <w:highlight w:val="none"/>
          <w:u w:val="single"/>
          <w14:textFill>
            <w14:solidFill>
              <w14:schemeClr w14:val="tx1"/>
            </w14:solidFill>
          </w14:textFill>
        </w:rPr>
      </w:pPr>
      <w:r>
        <w:rPr>
          <w:rFonts w:hint="eastAsia"/>
          <w:color w:val="000000" w:themeColor="text1"/>
          <w:szCs w:val="21"/>
          <w:highlight w:val="none"/>
          <w:u w:val="single"/>
          <w14:textFill>
            <w14:solidFill>
              <w14:schemeClr w14:val="tx1"/>
            </w14:solidFill>
          </w14:textFill>
        </w:rPr>
        <w:t>②合同中只有类似于变更工程的价格，只调整相应的主材费，主材单价按投标文件主材价格计算，若投标文件中无相同主材单价时，由发承包双方共同认质认价，差价只计取规费和税金，在类似工程价格的基础上组成新的单价，按新的单价办理结算；</w:t>
      </w:r>
    </w:p>
    <w:p w14:paraId="042EB5A0">
      <w:pPr>
        <w:spacing w:line="360" w:lineRule="auto"/>
        <w:ind w:firstLine="403" w:firstLineChars="192"/>
        <w:rPr>
          <w:color w:val="000000" w:themeColor="text1"/>
          <w:szCs w:val="21"/>
          <w:highlight w:val="none"/>
          <w:u w:val="single"/>
          <w14:textFill>
            <w14:solidFill>
              <w14:schemeClr w14:val="tx1"/>
            </w14:solidFill>
          </w14:textFill>
        </w:rPr>
      </w:pPr>
      <w:r>
        <w:rPr>
          <w:rFonts w:hint="eastAsia"/>
          <w:color w:val="000000" w:themeColor="text1"/>
          <w:szCs w:val="21"/>
          <w:highlight w:val="none"/>
          <w:u w:val="single"/>
          <w14:textFill>
            <w14:solidFill>
              <w14:schemeClr w14:val="tx1"/>
            </w14:solidFill>
          </w14:textFill>
        </w:rPr>
        <w:t>③合同中没有适用或类似于工程变更的价格，</w:t>
      </w:r>
      <w:r>
        <w:rPr>
          <w:color w:val="000000" w:themeColor="text1"/>
          <w:szCs w:val="21"/>
          <w:highlight w:val="none"/>
          <w:u w:val="single"/>
          <w14:textFill>
            <w14:solidFill>
              <w14:schemeClr w14:val="tx1"/>
            </w14:solidFill>
          </w14:textFill>
        </w:rPr>
        <w:t>按</w:t>
      </w:r>
      <w:r>
        <w:rPr>
          <w:rFonts w:hint="eastAsia"/>
          <w:color w:val="000000" w:themeColor="text1"/>
          <w:szCs w:val="21"/>
          <w:highlight w:val="none"/>
          <w:u w:val="single"/>
          <w14:textFill>
            <w14:solidFill>
              <w14:schemeClr w14:val="tx1"/>
            </w14:solidFill>
          </w14:textFill>
        </w:rPr>
        <w:t>采购文件</w:t>
      </w:r>
      <w:r>
        <w:rPr>
          <w:color w:val="000000" w:themeColor="text1"/>
          <w:szCs w:val="21"/>
          <w:highlight w:val="none"/>
          <w:u w:val="single"/>
          <w14:textFill>
            <w14:solidFill>
              <w14:schemeClr w14:val="tx1"/>
            </w14:solidFill>
          </w14:textFill>
        </w:rPr>
        <w:t>编制</w:t>
      </w:r>
      <w:r>
        <w:rPr>
          <w:rFonts w:hint="eastAsia"/>
          <w:color w:val="000000" w:themeColor="text1"/>
          <w:szCs w:val="21"/>
          <w:highlight w:val="none"/>
          <w:u w:val="single"/>
          <w14:textFill>
            <w14:solidFill>
              <w14:schemeClr w14:val="tx1"/>
            </w14:solidFill>
          </w14:textFill>
        </w:rPr>
        <w:t>招标最高限</w:t>
      </w:r>
      <w:r>
        <w:rPr>
          <w:color w:val="000000" w:themeColor="text1"/>
          <w:szCs w:val="21"/>
          <w:highlight w:val="none"/>
          <w:u w:val="single"/>
          <w14:textFill>
            <w14:solidFill>
              <w14:schemeClr w14:val="tx1"/>
            </w14:solidFill>
          </w14:textFill>
        </w:rPr>
        <w:t>价综合单价的原则</w:t>
      </w:r>
      <w:r>
        <w:rPr>
          <w:rFonts w:hint="eastAsia"/>
          <w:color w:val="000000" w:themeColor="text1"/>
          <w:szCs w:val="21"/>
          <w:highlight w:val="none"/>
          <w:u w:val="single"/>
          <w14:textFill>
            <w14:solidFill>
              <w14:schemeClr w14:val="tx1"/>
            </w14:solidFill>
          </w14:textFill>
        </w:rPr>
        <w:t>组</w:t>
      </w:r>
      <w:r>
        <w:rPr>
          <w:color w:val="000000" w:themeColor="text1"/>
          <w:szCs w:val="21"/>
          <w:highlight w:val="none"/>
          <w:u w:val="single"/>
          <w14:textFill>
            <w14:solidFill>
              <w14:schemeClr w14:val="tx1"/>
            </w14:solidFill>
          </w14:textFill>
        </w:rPr>
        <w:t>价，并按原中标价同原</w:t>
      </w:r>
      <w:r>
        <w:rPr>
          <w:rFonts w:hint="eastAsia"/>
          <w:color w:val="000000" w:themeColor="text1"/>
          <w:szCs w:val="21"/>
          <w:highlight w:val="none"/>
          <w:u w:val="single"/>
          <w14:textFill>
            <w14:solidFill>
              <w14:schemeClr w14:val="tx1"/>
            </w14:solidFill>
          </w14:textFill>
        </w:rPr>
        <w:t>最高限</w:t>
      </w:r>
      <w:r>
        <w:rPr>
          <w:color w:val="000000" w:themeColor="text1"/>
          <w:szCs w:val="21"/>
          <w:highlight w:val="none"/>
          <w:u w:val="single"/>
          <w14:textFill>
            <w14:solidFill>
              <w14:schemeClr w14:val="tx1"/>
            </w14:solidFill>
          </w14:textFill>
        </w:rPr>
        <w:t>价相比下浮相同比例确定结算单价</w:t>
      </w:r>
      <w:r>
        <w:rPr>
          <w:rFonts w:hint="eastAsia"/>
          <w:color w:val="000000" w:themeColor="text1"/>
          <w:szCs w:val="21"/>
          <w:highlight w:val="none"/>
          <w:u w:val="single"/>
          <w14:textFill>
            <w14:solidFill>
              <w14:schemeClr w14:val="tx1"/>
            </w14:solidFill>
          </w14:textFill>
        </w:rPr>
        <w:t>，按确认的结算单价办理结算。</w:t>
      </w:r>
    </w:p>
    <w:p w14:paraId="297B8F27">
      <w:pPr>
        <w:spacing w:line="360" w:lineRule="auto"/>
        <w:ind w:firstLine="403" w:firstLineChars="192"/>
        <w:rPr>
          <w:color w:val="000000" w:themeColor="text1"/>
          <w:szCs w:val="21"/>
          <w:highlight w:val="none"/>
          <w:u w:val="single"/>
          <w14:textFill>
            <w14:solidFill>
              <w14:schemeClr w14:val="tx1"/>
            </w14:solidFill>
          </w14:textFill>
        </w:rPr>
      </w:pPr>
      <w:r>
        <w:rPr>
          <w:rFonts w:hint="eastAsia"/>
          <w:color w:val="000000" w:themeColor="text1"/>
          <w:szCs w:val="21"/>
          <w:highlight w:val="none"/>
          <w:u w:val="single"/>
          <w14:textFill>
            <w14:solidFill>
              <w14:schemeClr w14:val="tx1"/>
            </w14:solidFill>
          </w14:textFill>
        </w:rPr>
        <w:t>（4）新增工程量相应</w:t>
      </w:r>
      <w:r>
        <w:rPr>
          <w:color w:val="000000" w:themeColor="text1"/>
          <w:szCs w:val="21"/>
          <w:highlight w:val="none"/>
          <w:u w:val="single"/>
          <w14:textFill>
            <w14:solidFill>
              <w14:schemeClr w14:val="tx1"/>
            </w14:solidFill>
          </w14:textFill>
        </w:rPr>
        <w:t>措施项目费按以下</w:t>
      </w:r>
      <w:r>
        <w:rPr>
          <w:rFonts w:hint="eastAsia"/>
          <w:color w:val="000000" w:themeColor="text1"/>
          <w:szCs w:val="21"/>
          <w:highlight w:val="none"/>
          <w:u w:val="single"/>
          <w14:textFill>
            <w14:solidFill>
              <w14:schemeClr w14:val="tx1"/>
            </w14:solidFill>
          </w14:textFill>
        </w:rPr>
        <w:t>办法</w:t>
      </w:r>
      <w:r>
        <w:rPr>
          <w:color w:val="000000" w:themeColor="text1"/>
          <w:szCs w:val="21"/>
          <w:highlight w:val="none"/>
          <w:u w:val="single"/>
          <w14:textFill>
            <w14:solidFill>
              <w14:schemeClr w14:val="tx1"/>
            </w14:solidFill>
          </w14:textFill>
        </w:rPr>
        <w:t>调整：</w:t>
      </w:r>
      <w:r>
        <w:rPr>
          <w:rFonts w:hint="eastAsia"/>
          <w:color w:val="000000" w:themeColor="text1"/>
          <w:szCs w:val="21"/>
          <w:highlight w:val="none"/>
          <w:u w:val="single"/>
          <w14:textFill>
            <w14:solidFill>
              <w14:schemeClr w14:val="tx1"/>
            </w14:solidFill>
          </w14:textFill>
        </w:rPr>
        <w:t>除原合同承包价中所含已完工程及设备保护费、大型机械安拆及进出场费不变外，承包人原中标价以综合单价计算的措施项目按上述第（2）条综合单价调整方法办理；承包人原中标价以系数计算的措施项目，按原中标系数计算。</w:t>
      </w:r>
    </w:p>
    <w:p w14:paraId="01CB861E">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color w:val="000000" w:themeColor="text1"/>
          <w:szCs w:val="21"/>
          <w:highlight w:val="none"/>
          <w:u w:val="single"/>
          <w14:textFill>
            <w14:solidFill>
              <w14:schemeClr w14:val="tx1"/>
            </w14:solidFill>
          </w14:textFill>
        </w:rPr>
        <w:t>（5）发包人认可的变更项目的工程量以及新增工程量超过原工程量15％时，在经过发包人审核确认后，依据合同约定的支付原则按已完成工程量支付至该部分款项的60％，其余部分待工程竣工审计完成后支付。</w:t>
      </w:r>
    </w:p>
    <w:p w14:paraId="0C72A564">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Start w:id="256" w:name="_Toc296503197"/>
      <w:bookmarkStart w:id="257" w:name="_Toc303539150"/>
      <w:bookmarkStart w:id="258" w:name="_Toc296346698"/>
      <w:bookmarkStart w:id="259" w:name="_Toc296944536"/>
      <w:bookmarkStart w:id="260" w:name="_Toc297120497"/>
      <w:bookmarkStart w:id="261" w:name="_Toc297048383"/>
      <w:bookmarkStart w:id="262" w:name="_Toc292559907"/>
      <w:bookmarkStart w:id="263" w:name="_Toc300934993"/>
      <w:bookmarkStart w:id="264" w:name="_Toc297216203"/>
      <w:bookmarkStart w:id="265" w:name="_Toc296891025"/>
      <w:bookmarkStart w:id="266" w:name="_Toc296891237"/>
      <w:bookmarkStart w:id="267" w:name="_Toc296347196"/>
      <w:bookmarkStart w:id="268" w:name="_Toc292559402"/>
      <w:bookmarkStart w:id="269" w:name="_Toc297123544"/>
      <w:bookmarkStart w:id="270" w:name="_Toc312677503"/>
      <w:bookmarkStart w:id="271" w:name="_Toc304295570"/>
      <w:bookmarkStart w:id="272" w:name="_Toc312678029"/>
      <w:r>
        <w:rPr>
          <w:rFonts w:ascii="宋体" w:hAnsi="宋体"/>
          <w:color w:val="000000" w:themeColor="text1"/>
          <w:szCs w:val="21"/>
          <w:highlight w:val="none"/>
          <w14:textFill>
            <w14:solidFill>
              <w14:schemeClr w14:val="tx1"/>
            </w14:solidFill>
          </w14:textFill>
        </w:rPr>
        <w:t>0.5承</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Start w:id="273" w:name="_Toc292559408"/>
      <w:bookmarkStart w:id="274" w:name="_Toc297123545"/>
      <w:bookmarkStart w:id="275" w:name="_Toc300934994"/>
      <w:bookmarkStart w:id="276" w:name="_Toc296944542"/>
      <w:bookmarkStart w:id="277" w:name="_Toc297120503"/>
      <w:bookmarkStart w:id="278" w:name="_Toc296891031"/>
      <w:bookmarkStart w:id="279" w:name="_Toc296347202"/>
      <w:bookmarkStart w:id="280" w:name="_Toc296503203"/>
      <w:bookmarkStart w:id="281" w:name="_Toc296891243"/>
      <w:bookmarkStart w:id="282" w:name="_Toc303539151"/>
      <w:bookmarkStart w:id="283" w:name="_Toc292559913"/>
      <w:bookmarkStart w:id="284" w:name="_Toc296346704"/>
      <w:bookmarkStart w:id="285" w:name="_Toc297216204"/>
      <w:bookmarkStart w:id="286" w:name="_Toc297048389"/>
      <w:r>
        <w:rPr>
          <w:rFonts w:ascii="宋体" w:hAnsi="宋体"/>
          <w:color w:val="000000" w:themeColor="text1"/>
          <w:szCs w:val="21"/>
          <w:highlight w:val="none"/>
          <w14:textFill>
            <w14:solidFill>
              <w14:schemeClr w14:val="tx1"/>
            </w14:solidFill>
          </w14:textFill>
        </w:rPr>
        <w:t>包人的合理化建议</w:t>
      </w:r>
    </w:p>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14:paraId="12574E04">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发包人审批承包人合理化建议的期限：</w:t>
      </w:r>
      <w:r>
        <w:rPr>
          <w:rFonts w:hint="eastAsia" w:ascii="宋体" w:hAnsi="宋体"/>
          <w:color w:val="000000" w:themeColor="text1"/>
          <w:szCs w:val="21"/>
          <w:highlight w:val="none"/>
          <w:u w:val="single"/>
          <w14:textFill>
            <w14:solidFill>
              <w14:schemeClr w14:val="tx1"/>
            </w14:solidFill>
          </w14:textFill>
        </w:rPr>
        <w:t>14天内审核完毕</w:t>
      </w:r>
      <w:r>
        <w:rPr>
          <w:rFonts w:ascii="宋体" w:hAnsi="宋体"/>
          <w:color w:val="000000" w:themeColor="text1"/>
          <w:szCs w:val="21"/>
          <w:highlight w:val="none"/>
          <w14:textFill>
            <w14:solidFill>
              <w14:schemeClr w14:val="tx1"/>
            </w14:solidFill>
          </w14:textFill>
        </w:rPr>
        <w:t>。</w:t>
      </w:r>
    </w:p>
    <w:p w14:paraId="19688F2F">
      <w:pPr>
        <w:spacing w:line="360" w:lineRule="auto"/>
        <w:ind w:firstLine="420" w:firstLineChars="200"/>
        <w:jc w:val="left"/>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承</w:t>
      </w:r>
      <w:bookmarkStart w:id="287" w:name="_Toc296347203"/>
      <w:bookmarkStart w:id="288" w:name="_Toc297120504"/>
      <w:bookmarkStart w:id="289" w:name="_Toc296503204"/>
      <w:bookmarkStart w:id="290" w:name="_Toc296891032"/>
      <w:bookmarkStart w:id="291" w:name="_Toc292559914"/>
      <w:bookmarkStart w:id="292" w:name="_Toc318581175"/>
      <w:bookmarkStart w:id="293" w:name="_Toc304295571"/>
      <w:bookmarkStart w:id="294" w:name="_Toc292559409"/>
      <w:bookmarkStart w:id="295" w:name="_Toc296346705"/>
      <w:bookmarkStart w:id="296" w:name="_Toc296944543"/>
      <w:bookmarkStart w:id="297" w:name="_Toc297048390"/>
      <w:bookmarkStart w:id="298" w:name="_Toc297123546"/>
      <w:bookmarkStart w:id="299" w:name="_Toc300934995"/>
      <w:bookmarkStart w:id="300" w:name="_Toc303539152"/>
      <w:bookmarkStart w:id="301" w:name="_Toc296891244"/>
      <w:bookmarkStart w:id="302" w:name="_Toc312678030"/>
      <w:bookmarkStart w:id="303" w:name="_Toc312677504"/>
      <w:bookmarkStart w:id="304" w:name="_Toc297216205"/>
      <w:r>
        <w:rPr>
          <w:rFonts w:ascii="宋体" w:hAnsi="宋体"/>
          <w:color w:val="000000" w:themeColor="text1"/>
          <w:szCs w:val="21"/>
          <w:highlight w:val="none"/>
          <w14:textFill>
            <w14:solidFill>
              <w14:schemeClr w14:val="tx1"/>
            </w14:solidFill>
          </w14:textFill>
        </w:rPr>
        <w:t>包人提出的合理化建议降低了合同价格或者提高了工程经济效益的奖励的方法和金额为：</w:t>
      </w:r>
      <w:r>
        <w:rPr>
          <w:rFonts w:hint="eastAsia" w:ascii="宋体" w:hAnsi="宋体"/>
          <w:color w:val="000000" w:themeColor="text1"/>
          <w:szCs w:val="21"/>
          <w:highlight w:val="none"/>
          <w:u w:val="single"/>
          <w14:textFill>
            <w14:solidFill>
              <w14:schemeClr w14:val="tx1"/>
            </w14:solidFill>
          </w14:textFill>
        </w:rPr>
        <w:t>无</w:t>
      </w:r>
      <w:r>
        <w:rPr>
          <w:rFonts w:ascii="宋体" w:hAnsi="宋体"/>
          <w:color w:val="000000" w:themeColor="text1"/>
          <w:szCs w:val="21"/>
          <w:highlight w:val="none"/>
          <w14:textFill>
            <w14:solidFill>
              <w14:schemeClr w14:val="tx1"/>
            </w14:solidFill>
          </w14:textFill>
        </w:rPr>
        <w:t>。</w:t>
      </w:r>
    </w:p>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p w14:paraId="62A49881">
      <w:pPr>
        <w:pStyle w:val="5"/>
        <w:ind w:firstLine="0" w:firstLineChars="0"/>
        <w:rPr>
          <w:b/>
          <w:color w:val="000000" w:themeColor="text1"/>
          <w:highlight w:val="none"/>
          <w14:textFill>
            <w14:solidFill>
              <w14:schemeClr w14:val="tx1"/>
            </w14:solidFill>
          </w14:textFill>
        </w:rPr>
      </w:pPr>
      <w:bookmarkStart w:id="305" w:name="_Toc7"/>
      <w:bookmarkStart w:id="306" w:name="_Toc21393"/>
      <w:bookmarkStart w:id="307" w:name="_Toc351203643"/>
      <w:r>
        <w:rPr>
          <w:rFonts w:hint="eastAsia"/>
          <w:b/>
          <w:color w:val="000000" w:themeColor="text1"/>
          <w:highlight w:val="none"/>
          <w14:textFill>
            <w14:solidFill>
              <w14:schemeClr w14:val="tx1"/>
            </w14:solidFill>
          </w14:textFill>
        </w:rPr>
        <w:t>11. 价格调整</w:t>
      </w:r>
      <w:bookmarkEnd w:id="305"/>
      <w:bookmarkEnd w:id="306"/>
      <w:bookmarkEnd w:id="307"/>
    </w:p>
    <w:bookmarkEnd w:id="232"/>
    <w:bookmarkEnd w:id="233"/>
    <w:bookmarkEnd w:id="234"/>
    <w:bookmarkEnd w:id="235"/>
    <w:bookmarkEnd w:id="236"/>
    <w:bookmarkEnd w:id="237"/>
    <w:p w14:paraId="5CB7F8E4">
      <w:pPr>
        <w:spacing w:line="360" w:lineRule="auto"/>
        <w:ind w:firstLine="420" w:firstLineChars="200"/>
        <w:rPr>
          <w:rFonts w:ascii="宋体" w:hAnsi="宋体"/>
          <w:color w:val="000000" w:themeColor="text1"/>
          <w:szCs w:val="21"/>
          <w:highlight w:val="none"/>
          <w14:textFill>
            <w14:solidFill>
              <w14:schemeClr w14:val="tx1"/>
            </w14:solidFill>
          </w14:textFill>
        </w:rPr>
      </w:pPr>
      <w:bookmarkStart w:id="308" w:name="_Toc300935000"/>
      <w:bookmarkStart w:id="309" w:name="_Toc297048387"/>
      <w:bookmarkStart w:id="310" w:name="_Toc296346702"/>
      <w:bookmarkStart w:id="311" w:name="_Toc297123550"/>
      <w:bookmarkStart w:id="312" w:name="_Toc292559911"/>
      <w:bookmarkStart w:id="313" w:name="_Toc296944540"/>
      <w:bookmarkStart w:id="314" w:name="_Toc296503201"/>
      <w:bookmarkStart w:id="315" w:name="_Toc296891029"/>
      <w:bookmarkStart w:id="316" w:name="_Toc292559406"/>
      <w:bookmarkStart w:id="317" w:name="_Toc297120501"/>
      <w:bookmarkStart w:id="318" w:name="_Toc312678039"/>
      <w:bookmarkStart w:id="319" w:name="_Toc296891241"/>
      <w:bookmarkStart w:id="320" w:name="_Toc297216209"/>
      <w:bookmarkStart w:id="321" w:name="_Toc303539157"/>
      <w:bookmarkStart w:id="322" w:name="_Toc304295577"/>
      <w:bookmarkStart w:id="323" w:name="_Toc296347200"/>
      <w:bookmarkStart w:id="324" w:name="_Toc296347204"/>
      <w:bookmarkStart w:id="325" w:name="_Toc296891245"/>
      <w:bookmarkStart w:id="326" w:name="_Toc292559915"/>
      <w:bookmarkStart w:id="327" w:name="_Toc292559410"/>
      <w:bookmarkStart w:id="328" w:name="_Toc296503205"/>
      <w:bookmarkStart w:id="329" w:name="_Toc297120505"/>
      <w:bookmarkStart w:id="330" w:name="_Toc296891033"/>
      <w:bookmarkStart w:id="331" w:name="_Toc296944544"/>
      <w:bookmarkStart w:id="332" w:name="_Toc296346706"/>
      <w:bookmarkStart w:id="333" w:name="_Toc297048391"/>
      <w:bookmarkStart w:id="334" w:name="_Toc351203644"/>
      <w:bookmarkStart w:id="335" w:name="_Toc300935002"/>
      <w:bookmarkStart w:id="336" w:name="_Toc304295579"/>
      <w:bookmarkStart w:id="337" w:name="_Toc297216211"/>
      <w:bookmarkStart w:id="338" w:name="_Toc303539159"/>
      <w:bookmarkStart w:id="339" w:name="_Toc297123552"/>
      <w:bookmarkStart w:id="340" w:name="_Toc312678040"/>
      <w:r>
        <w:rPr>
          <w:rFonts w:ascii="宋体" w:hAnsi="宋体"/>
          <w:color w:val="000000" w:themeColor="text1"/>
          <w:szCs w:val="21"/>
          <w:highlight w:val="none"/>
          <w14:textFill>
            <w14:solidFill>
              <w14:schemeClr w14:val="tx1"/>
            </w14:solidFill>
          </w14:textFill>
        </w:rPr>
        <w:t>11.1 市场价格波动引起的调整</w:t>
      </w:r>
    </w:p>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p w14:paraId="0C798338">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市场价格波动是否调整合同价格的约定：</w:t>
      </w:r>
      <w:r>
        <w:rPr>
          <w:rFonts w:hint="eastAsia" w:ascii="宋体" w:hAnsi="宋体"/>
          <w:color w:val="000000" w:themeColor="text1"/>
          <w:szCs w:val="21"/>
          <w:highlight w:val="none"/>
          <w:u w:val="single"/>
          <w14:textFill>
            <w14:solidFill>
              <w14:schemeClr w14:val="tx1"/>
            </w14:solidFill>
          </w14:textFill>
        </w:rPr>
        <w:t>不调整</w:t>
      </w:r>
      <w:r>
        <w:rPr>
          <w:rFonts w:ascii="宋体" w:hAnsi="宋体"/>
          <w:color w:val="000000" w:themeColor="text1"/>
          <w:szCs w:val="21"/>
          <w:highlight w:val="none"/>
          <w14:textFill>
            <w14:solidFill>
              <w14:schemeClr w14:val="tx1"/>
            </w14:solidFill>
          </w14:textFill>
        </w:rPr>
        <w:t>。</w:t>
      </w:r>
    </w:p>
    <w:bookmarkEnd w:id="324"/>
    <w:bookmarkEnd w:id="325"/>
    <w:bookmarkEnd w:id="326"/>
    <w:bookmarkEnd w:id="327"/>
    <w:bookmarkEnd w:id="328"/>
    <w:bookmarkEnd w:id="329"/>
    <w:bookmarkEnd w:id="330"/>
    <w:bookmarkEnd w:id="331"/>
    <w:bookmarkEnd w:id="332"/>
    <w:bookmarkEnd w:id="333"/>
    <w:p w14:paraId="5EC20C56">
      <w:pPr>
        <w:pStyle w:val="5"/>
        <w:ind w:firstLine="0" w:firstLineChars="0"/>
        <w:rPr>
          <w:b/>
          <w:color w:val="000000" w:themeColor="text1"/>
          <w:highlight w:val="none"/>
          <w14:textFill>
            <w14:solidFill>
              <w14:schemeClr w14:val="tx1"/>
            </w14:solidFill>
          </w14:textFill>
        </w:rPr>
      </w:pPr>
      <w:bookmarkStart w:id="341" w:name="_Toc6148"/>
      <w:bookmarkStart w:id="342" w:name="_Toc21929"/>
      <w:r>
        <w:rPr>
          <w:rFonts w:hint="eastAsia"/>
          <w:b/>
          <w:color w:val="000000" w:themeColor="text1"/>
          <w:highlight w:val="none"/>
          <w14:textFill>
            <w14:solidFill>
              <w14:schemeClr w14:val="tx1"/>
            </w14:solidFill>
          </w14:textFill>
        </w:rPr>
        <w:t>12.合同价格、计量与支付</w:t>
      </w:r>
      <w:bookmarkEnd w:id="334"/>
      <w:bookmarkEnd w:id="341"/>
      <w:bookmarkEnd w:id="342"/>
    </w:p>
    <w:p w14:paraId="6A2F3DF9">
      <w:pPr>
        <w:spacing w:line="360" w:lineRule="auto"/>
        <w:ind w:firstLine="420" w:firstLineChars="200"/>
        <w:jc w:val="left"/>
        <w:rPr>
          <w:rFonts w:ascii="黑体" w:hAnsi="黑体" w:cs="黑体"/>
          <w:color w:val="000000" w:themeColor="text1"/>
          <w:highlight w:val="none"/>
          <w14:textFill>
            <w14:solidFill>
              <w14:schemeClr w14:val="tx1"/>
            </w14:solidFill>
          </w14:textFill>
        </w:rPr>
      </w:pPr>
      <w:bookmarkStart w:id="343" w:name="_Toc292559916"/>
      <w:bookmarkStart w:id="344" w:name="_Toc267251461"/>
      <w:bookmarkStart w:id="345" w:name="_Toc292559411"/>
      <w:bookmarkStart w:id="346" w:name="_Toc296347205"/>
      <w:bookmarkStart w:id="347" w:name="_Toc297120506"/>
      <w:bookmarkStart w:id="348" w:name="_Toc296944545"/>
      <w:bookmarkStart w:id="349" w:name="_Toc296346707"/>
      <w:bookmarkStart w:id="350" w:name="_Toc297048392"/>
      <w:bookmarkStart w:id="351" w:name="_Toc296891246"/>
      <w:bookmarkStart w:id="352" w:name="_Toc296503206"/>
      <w:bookmarkStart w:id="353" w:name="_Toc296891034"/>
      <w:r>
        <w:rPr>
          <w:rFonts w:ascii="宋体" w:hAnsi="宋体"/>
          <w:color w:val="000000" w:themeColor="text1"/>
          <w:szCs w:val="21"/>
          <w:highlight w:val="none"/>
          <w14:textFill>
            <w14:solidFill>
              <w14:schemeClr w14:val="tx1"/>
            </w14:solidFill>
          </w14:textFill>
        </w:rPr>
        <w:t>12.1 合</w:t>
      </w:r>
      <w:bookmarkEnd w:id="343"/>
      <w:bookmarkEnd w:id="344"/>
      <w:bookmarkEnd w:id="345"/>
      <w:r>
        <w:rPr>
          <w:rFonts w:ascii="宋体" w:hAnsi="宋体"/>
          <w:color w:val="000000" w:themeColor="text1"/>
          <w:szCs w:val="21"/>
          <w:highlight w:val="none"/>
          <w14:textFill>
            <w14:solidFill>
              <w14:schemeClr w14:val="tx1"/>
            </w14:solidFill>
          </w14:textFill>
        </w:rPr>
        <w:t>同价</w:t>
      </w:r>
      <w:bookmarkEnd w:id="346"/>
      <w:bookmarkEnd w:id="347"/>
      <w:bookmarkEnd w:id="348"/>
      <w:bookmarkEnd w:id="349"/>
      <w:bookmarkEnd w:id="350"/>
      <w:bookmarkEnd w:id="351"/>
      <w:bookmarkEnd w:id="352"/>
      <w:bookmarkEnd w:id="353"/>
      <w:r>
        <w:rPr>
          <w:rFonts w:ascii="宋体" w:hAnsi="宋体"/>
          <w:color w:val="000000" w:themeColor="text1"/>
          <w:szCs w:val="21"/>
          <w:highlight w:val="none"/>
          <w14:textFill>
            <w14:solidFill>
              <w14:schemeClr w14:val="tx1"/>
            </w14:solidFill>
          </w14:textFill>
        </w:rPr>
        <w:t>格形式</w:t>
      </w:r>
    </w:p>
    <w:bookmarkEnd w:id="238"/>
    <w:bookmarkEnd w:id="335"/>
    <w:bookmarkEnd w:id="336"/>
    <w:bookmarkEnd w:id="337"/>
    <w:bookmarkEnd w:id="338"/>
    <w:bookmarkEnd w:id="339"/>
    <w:bookmarkEnd w:id="340"/>
    <w:p w14:paraId="4D1DCCFF">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bookmarkStart w:id="354" w:name="_Toc292559412"/>
      <w:bookmarkStart w:id="355" w:name="_Toc292559917"/>
      <w:bookmarkStart w:id="356" w:name="_Toc296891247"/>
      <w:bookmarkStart w:id="357" w:name="_Toc297048393"/>
      <w:bookmarkStart w:id="358" w:name="_Toc296347206"/>
      <w:bookmarkStart w:id="359" w:name="_Toc296891035"/>
      <w:bookmarkStart w:id="360" w:name="_Toc296503207"/>
      <w:bookmarkStart w:id="361" w:name="_Toc297120507"/>
      <w:bookmarkStart w:id="362" w:name="_Toc296346708"/>
      <w:bookmarkStart w:id="363" w:name="_Toc296944546"/>
      <w:bookmarkStart w:id="364" w:name="_Toc351203645"/>
      <w:bookmarkStart w:id="365" w:name="_Toc297123564"/>
      <w:bookmarkStart w:id="366" w:name="_Toc296891047"/>
      <w:bookmarkStart w:id="367" w:name="_Toc304295593"/>
      <w:bookmarkStart w:id="368" w:name="_Toc296346720"/>
      <w:bookmarkStart w:id="369" w:name="_Toc296944558"/>
      <w:bookmarkStart w:id="370" w:name="_Toc296503219"/>
      <w:bookmarkStart w:id="371" w:name="_Toc292559929"/>
      <w:bookmarkStart w:id="372" w:name="_Toc292559424"/>
      <w:bookmarkStart w:id="373" w:name="_Toc312678053"/>
      <w:bookmarkStart w:id="374" w:name="_Toc303539172"/>
      <w:bookmarkStart w:id="375" w:name="_Toc297120519"/>
      <w:bookmarkStart w:id="376" w:name="_Toc300935015"/>
      <w:bookmarkStart w:id="377" w:name="_Toc296891259"/>
      <w:bookmarkStart w:id="378" w:name="_Toc297048405"/>
      <w:bookmarkStart w:id="379" w:name="_Toc296347218"/>
      <w:bookmarkStart w:id="380" w:name="_Toc297216223"/>
      <w:r>
        <w:rPr>
          <w:rFonts w:hint="eastAsia" w:ascii="宋体" w:hAnsi="宋体"/>
          <w:color w:val="000000" w:themeColor="text1"/>
          <w:szCs w:val="21"/>
          <w:highlight w:val="none"/>
          <w14:textFill>
            <w14:solidFill>
              <w14:schemeClr w14:val="tx1"/>
            </w14:solidFill>
          </w14:textFill>
        </w:rPr>
        <w:t>12.1.1单价合同。</w:t>
      </w:r>
    </w:p>
    <w:p w14:paraId="5CDB5066">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综合</w:t>
      </w:r>
      <w:r>
        <w:rPr>
          <w:rFonts w:hint="eastAsia" w:ascii="宋体" w:hAnsi="宋体"/>
          <w:color w:val="000000" w:themeColor="text1"/>
          <w:szCs w:val="21"/>
          <w:highlight w:val="none"/>
          <w14:textFill>
            <w14:solidFill>
              <w14:schemeClr w14:val="tx1"/>
            </w14:solidFill>
          </w14:textFill>
        </w:rPr>
        <w:t>单价</w:t>
      </w:r>
      <w:r>
        <w:rPr>
          <w:rFonts w:ascii="宋体" w:hAnsi="宋体"/>
          <w:color w:val="000000" w:themeColor="text1"/>
          <w:szCs w:val="21"/>
          <w:highlight w:val="none"/>
          <w14:textFill>
            <w14:solidFill>
              <w14:schemeClr w14:val="tx1"/>
            </w14:solidFill>
          </w14:textFill>
        </w:rPr>
        <w:t>包含的风险范围：</w:t>
      </w:r>
      <w:r>
        <w:rPr>
          <w:rFonts w:hint="eastAsia"/>
          <w:color w:val="000000" w:themeColor="text1"/>
          <w:szCs w:val="21"/>
          <w:highlight w:val="none"/>
          <w:u w:val="single"/>
          <w14:textFill>
            <w14:solidFill>
              <w14:schemeClr w14:val="tx1"/>
            </w14:solidFill>
          </w14:textFill>
        </w:rPr>
        <w:t>1、</w:t>
      </w:r>
      <w:r>
        <w:rPr>
          <w:color w:val="000000" w:themeColor="text1"/>
          <w:szCs w:val="21"/>
          <w:highlight w:val="none"/>
          <w:u w:val="single"/>
          <w14:textFill>
            <w14:solidFill>
              <w14:schemeClr w14:val="tx1"/>
            </w14:solidFill>
          </w14:textFill>
        </w:rPr>
        <w:t>人工费、材料费</w:t>
      </w:r>
      <w:r>
        <w:rPr>
          <w:rFonts w:hint="eastAsia"/>
          <w:color w:val="000000" w:themeColor="text1"/>
          <w:szCs w:val="21"/>
          <w:highlight w:val="none"/>
          <w:u w:val="single"/>
          <w14:textFill>
            <w14:solidFill>
              <w14:schemeClr w14:val="tx1"/>
            </w14:solidFill>
          </w14:textFill>
        </w:rPr>
        <w:t>（除暂定价）</w:t>
      </w:r>
      <w:r>
        <w:rPr>
          <w:color w:val="000000" w:themeColor="text1"/>
          <w:szCs w:val="21"/>
          <w:highlight w:val="none"/>
          <w:u w:val="single"/>
          <w14:textFill>
            <w14:solidFill>
              <w14:schemeClr w14:val="tx1"/>
            </w14:solidFill>
          </w14:textFill>
        </w:rPr>
        <w:t>、机械费</w:t>
      </w:r>
      <w:r>
        <w:rPr>
          <w:rFonts w:hint="eastAsia"/>
          <w:color w:val="000000" w:themeColor="text1"/>
          <w:szCs w:val="21"/>
          <w:highlight w:val="none"/>
          <w:u w:val="single"/>
          <w14:textFill>
            <w14:solidFill>
              <w14:schemeClr w14:val="tx1"/>
            </w14:solidFill>
          </w14:textFill>
        </w:rPr>
        <w:t>市场</w:t>
      </w:r>
      <w:r>
        <w:rPr>
          <w:color w:val="000000" w:themeColor="text1"/>
          <w:szCs w:val="21"/>
          <w:highlight w:val="none"/>
          <w:u w:val="single"/>
          <w14:textFill>
            <w14:solidFill>
              <w14:schemeClr w14:val="tx1"/>
            </w14:solidFill>
          </w14:textFill>
        </w:rPr>
        <w:t>价格浮动</w:t>
      </w:r>
      <w:r>
        <w:rPr>
          <w:rFonts w:hint="eastAsia"/>
          <w:color w:val="000000" w:themeColor="text1"/>
          <w:szCs w:val="21"/>
          <w:highlight w:val="none"/>
          <w:u w:val="single"/>
          <w14:textFill>
            <w14:solidFill>
              <w14:schemeClr w14:val="tx1"/>
            </w14:solidFill>
          </w14:textFill>
        </w:rPr>
        <w:t>；2、本合同专用条款第17.1条规定以外的自然灾害费用； 3、政府部门公布的工程价格的动态管理的变化，包括水电价格的变化。以上风险承包人自主考虑，风险费用包含在投标报价中，工程结算时不再调整。</w:t>
      </w:r>
    </w:p>
    <w:p w14:paraId="6DA01ED3">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风险费用的计算方法：</w:t>
      </w:r>
      <w:r>
        <w:rPr>
          <w:rFonts w:hint="eastAsia" w:ascii="宋体" w:hAnsi="宋体"/>
          <w:color w:val="000000" w:themeColor="text1"/>
          <w:szCs w:val="21"/>
          <w:highlight w:val="none"/>
          <w:u w:val="single"/>
          <w14:textFill>
            <w14:solidFill>
              <w14:schemeClr w14:val="tx1"/>
            </w14:solidFill>
          </w14:textFill>
        </w:rPr>
        <w:t>应由承包人承担的风险费用已由承包人根据自身经验</w:t>
      </w:r>
      <w:r>
        <w:rPr>
          <w:rFonts w:hint="eastAsia" w:ascii="宋体" w:hAnsi="宋体"/>
          <w:color w:val="000000" w:themeColor="text1"/>
          <w:szCs w:val="21"/>
          <w:highlight w:val="none"/>
          <w:u w:val="single"/>
          <w:lang w:eastAsia="zh-CN"/>
          <w14:textFill>
            <w14:solidFill>
              <w14:schemeClr w14:val="tx1"/>
            </w14:solidFill>
          </w14:textFill>
        </w:rPr>
        <w:t>做</w:t>
      </w:r>
      <w:r>
        <w:rPr>
          <w:rFonts w:hint="eastAsia" w:ascii="宋体" w:hAnsi="宋体"/>
          <w:color w:val="000000" w:themeColor="text1"/>
          <w:szCs w:val="21"/>
          <w:highlight w:val="none"/>
          <w:u w:val="single"/>
          <w14:textFill>
            <w14:solidFill>
              <w14:schemeClr w14:val="tx1"/>
            </w14:solidFill>
          </w14:textFill>
        </w:rPr>
        <w:t>了充分估计并已计入合同协议确定的合同价款中，风险费用未单独计列的，应认为已经包含在合同价款中</w:t>
      </w:r>
      <w:r>
        <w:rPr>
          <w:rFonts w:ascii="宋体" w:hAnsi="宋体"/>
          <w:color w:val="000000" w:themeColor="text1"/>
          <w:szCs w:val="21"/>
          <w:highlight w:val="none"/>
          <w:u w:val="single"/>
          <w14:textFill>
            <w14:solidFill>
              <w14:schemeClr w14:val="tx1"/>
            </w14:solidFill>
          </w14:textFill>
        </w:rPr>
        <w:t>。</w:t>
      </w:r>
    </w:p>
    <w:p w14:paraId="31824375">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风险范围以外合同价格的调整方法：</w:t>
      </w:r>
      <w:r>
        <w:rPr>
          <w:rFonts w:hint="eastAsia"/>
          <w:color w:val="000000" w:themeColor="text1"/>
          <w:szCs w:val="21"/>
          <w:highlight w:val="none"/>
          <w:u w:val="single"/>
          <w14:textFill>
            <w14:solidFill>
              <w14:schemeClr w14:val="tx1"/>
            </w14:solidFill>
          </w14:textFill>
        </w:rPr>
        <w:t>1、暂定价材料按实际购买价与暂定价的差价据实调整； 2、本合同实施期间因采购文件分部分项工程量清单漏项或工程量偏差、设计变更及相关签证等非承包人原因引起工程项目、工程量变化，其工程量按实际发生并经发包人签证认可，变更合同价款按下列方法进行：（</w:t>
      </w:r>
      <w:r>
        <w:rPr>
          <w:color w:val="000000" w:themeColor="text1"/>
          <w:szCs w:val="21"/>
          <w:highlight w:val="none"/>
          <w:u w:val="single"/>
          <w14:textFill>
            <w14:solidFill>
              <w14:schemeClr w14:val="tx1"/>
            </w14:solidFill>
          </w14:textFill>
        </w:rPr>
        <w:t>a</w:t>
      </w:r>
      <w:r>
        <w:rPr>
          <w:rFonts w:hint="eastAsia"/>
          <w:color w:val="000000" w:themeColor="text1"/>
          <w:szCs w:val="21"/>
          <w:highlight w:val="none"/>
          <w:u w:val="single"/>
          <w14:textFill>
            <w14:solidFill>
              <w14:schemeClr w14:val="tx1"/>
            </w14:solidFill>
          </w14:textFill>
        </w:rPr>
        <w:t>）清单或合同中已有适用于新工程量清单项目的价格，按已有价格变更合同价款；（</w:t>
      </w:r>
      <w:r>
        <w:rPr>
          <w:color w:val="000000" w:themeColor="text1"/>
          <w:szCs w:val="21"/>
          <w:highlight w:val="none"/>
          <w:u w:val="single"/>
          <w14:textFill>
            <w14:solidFill>
              <w14:schemeClr w14:val="tx1"/>
            </w14:solidFill>
          </w14:textFill>
        </w:rPr>
        <w:t>b</w:t>
      </w:r>
      <w:r>
        <w:rPr>
          <w:rFonts w:hint="eastAsia"/>
          <w:color w:val="000000" w:themeColor="text1"/>
          <w:szCs w:val="21"/>
          <w:highlight w:val="none"/>
          <w:u w:val="single"/>
          <w14:textFill>
            <w14:solidFill>
              <w14:schemeClr w14:val="tx1"/>
            </w14:solidFill>
          </w14:textFill>
        </w:rPr>
        <w:t>）清单或合同中只有类似（施工工艺相同）于新工程量清单项目的价格，可以参照类似价格变更合同价款；（</w:t>
      </w:r>
      <w:r>
        <w:rPr>
          <w:color w:val="000000" w:themeColor="text1"/>
          <w:szCs w:val="21"/>
          <w:highlight w:val="none"/>
          <w:u w:val="single"/>
          <w14:textFill>
            <w14:solidFill>
              <w14:schemeClr w14:val="tx1"/>
            </w14:solidFill>
          </w14:textFill>
        </w:rPr>
        <w:t>c</w:t>
      </w:r>
      <w:r>
        <w:rPr>
          <w:rFonts w:hint="eastAsia"/>
          <w:color w:val="000000" w:themeColor="text1"/>
          <w:szCs w:val="21"/>
          <w:highlight w:val="none"/>
          <w:u w:val="single"/>
          <w14:textFill>
            <w14:solidFill>
              <w14:schemeClr w14:val="tx1"/>
            </w14:solidFill>
          </w14:textFill>
        </w:rPr>
        <w:t>）清单或合同中没有类似于新工程量清单项目的价格，由承包人按招标最高限价计算办法计算的价格乘以中标价与最高限价的比率进行计价（其中主要材料由发包人认质认价），并报发包人审核，经承、发包双方确认后执行。</w:t>
      </w:r>
    </w:p>
    <w:p w14:paraId="70819B9A">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12.1.2合同价款调整：</w:t>
      </w:r>
    </w:p>
    <w:p w14:paraId="7459C0B6">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（1）双方约定合同价款的其他调整因素：以按中标条件签订的施工合同为依据进行结算。</w:t>
      </w:r>
    </w:p>
    <w:p w14:paraId="31D05506">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（2）在本工程施工过程中，若发生设计变更，以签证为依据，招标人审核为准，价款调整办法参照12.1.1条，中标报价中明显不合理的综合单价双方协商调整，由发包人重新审定后作为结算依据。</w:t>
      </w:r>
    </w:p>
    <w:p w14:paraId="73BADE42">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本工程量按实结算。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241C6905">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（4）措施项目费用的调整：措施项目费一般不作调整，当出现如下情况时可</w:t>
      </w:r>
      <w:r>
        <w:rPr>
          <w:rFonts w:hint="eastAsia" w:ascii="宋体" w:hAnsi="宋体"/>
          <w:color w:val="000000" w:themeColor="text1"/>
          <w:szCs w:val="21"/>
          <w:highlight w:val="none"/>
          <w:lang w:eastAsia="zh-CN"/>
          <w14:textFill>
            <w14:solidFill>
              <w14:schemeClr w14:val="tx1"/>
            </w14:solidFill>
          </w14:textFill>
        </w:rPr>
        <w:t>做</w:t>
      </w:r>
      <w:r>
        <w:rPr>
          <w:rFonts w:hint="eastAsia" w:ascii="宋体" w:hAnsi="宋体"/>
          <w:color w:val="000000" w:themeColor="text1"/>
          <w:szCs w:val="21"/>
          <w:highlight w:val="none"/>
          <w14:textFill>
            <w14:solidFill>
              <w14:schemeClr w14:val="tx1"/>
            </w14:solidFill>
          </w14:textFill>
        </w:rPr>
        <w:t>调整。</w:t>
      </w:r>
    </w:p>
    <w:p w14:paraId="0402EABE">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1）发包人更改已审定的施工方案（修正错误除外），引起措施项目费增加时予以增加，减少时不予减少；</w:t>
      </w:r>
    </w:p>
    <w:p w14:paraId="3F7AE61E">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2）由于工程量变化引起措施项目费用增加时予以增加，减少时予以减少；</w:t>
      </w:r>
    </w:p>
    <w:p w14:paraId="7A2B56BD">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3）措施项目费调整方法为承包人原中标价以综合单价计算的措施项目按本章中的12.1.1原则办理；承包人原中标价以系数计算的措施项目，按原中标系数计算。</w:t>
      </w:r>
    </w:p>
    <w:p w14:paraId="50E0E42B">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（5）因不可抗力事件导致的费用，发、承包双方按以下原则分别承担并调整工程价款。</w:t>
      </w:r>
    </w:p>
    <w:p w14:paraId="559C7CBC">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1）发、承包人人员伤亡由所在单位负责并承担费用；</w:t>
      </w:r>
    </w:p>
    <w:p w14:paraId="5A8105B6">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2）工程所需清理、修复费用，由发包人承担；</w:t>
      </w:r>
    </w:p>
    <w:p w14:paraId="1C8E5142">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3）承包人的施工机械设备损害及停工损失，由承包人承担。</w:t>
      </w:r>
    </w:p>
    <w:p w14:paraId="4EFC3F25">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（6）材料市场价格波动引起的价款调整：不予调整。</w:t>
      </w:r>
    </w:p>
    <w:p w14:paraId="4D21FAE9">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（7）暂定价的材料由发包人认质认价，差额以差价形式调整总价，暂定单价的材料或设备由发、承包人协商确认实际单价，实际单价与暂定价的差额以差价形式调整总价。 </w:t>
      </w:r>
    </w:p>
    <w:p w14:paraId="5EE04A0F">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（8）</w:t>
      </w:r>
      <w:r>
        <w:rPr>
          <w:rFonts w:ascii="宋体" w:hAnsi="宋体"/>
          <w:color w:val="000000" w:themeColor="text1"/>
          <w:szCs w:val="21"/>
          <w:highlight w:val="none"/>
          <w14:textFill>
            <w14:solidFill>
              <w14:schemeClr w14:val="tx1"/>
            </w14:solidFill>
          </w14:textFill>
        </w:rPr>
        <w:t>人工费根据政府部门公布的最新文件进行调整，调整办法：最新文件工日单价与最高限价编制工日单价进行调差计入</w:t>
      </w:r>
    </w:p>
    <w:p w14:paraId="40DED811">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人工费调整：根据政府部门公布的最新文件进行调整，调整办法：最新文件工日单价与最高限价编制工日单价进行调差计入。</w:t>
      </w:r>
    </w:p>
    <w:p w14:paraId="243DA0C2">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（9）</w:t>
      </w:r>
      <w:r>
        <w:rPr>
          <w:rFonts w:hint="eastAsia" w:ascii="宋体" w:hAnsi="宋体"/>
          <w:color w:val="000000" w:themeColor="text1"/>
          <w:szCs w:val="21"/>
          <w:highlight w:val="none"/>
          <w:lang w:eastAsia="zh-C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项目费用以现场签证的事项和金额结算。</w:t>
      </w:r>
    </w:p>
    <w:p w14:paraId="29315654">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（10）工程结算价＝合同价±工程量清单数量变更价款±设计变更价款±现场签证±差价。</w:t>
      </w:r>
    </w:p>
    <w:p w14:paraId="54A8B80F">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12.2 预付款</w:t>
      </w:r>
    </w:p>
    <w:bookmarkEnd w:id="354"/>
    <w:bookmarkEnd w:id="355"/>
    <w:bookmarkEnd w:id="356"/>
    <w:bookmarkEnd w:id="357"/>
    <w:bookmarkEnd w:id="358"/>
    <w:bookmarkEnd w:id="359"/>
    <w:bookmarkEnd w:id="360"/>
    <w:bookmarkEnd w:id="361"/>
    <w:bookmarkEnd w:id="362"/>
    <w:bookmarkEnd w:id="363"/>
    <w:p w14:paraId="03EF3C44">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12.2.1 预付款的支付</w:t>
      </w:r>
    </w:p>
    <w:p w14:paraId="6ABF72E2">
      <w:pPr>
        <w:spacing w:line="360" w:lineRule="auto"/>
        <w:ind w:firstLine="420" w:firstLineChars="200"/>
        <w:jc w:val="left"/>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预付款支付比例或金额：</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 </w:t>
      </w:r>
      <w:r>
        <w:rPr>
          <w:rFonts w:hint="eastAsia" w:ascii="宋体" w:hAnsi="宋体"/>
          <w:color w:val="000000" w:themeColor="text1"/>
          <w:szCs w:val="21"/>
          <w:highlight w:val="none"/>
          <w14:textFill>
            <w14:solidFill>
              <w14:schemeClr w14:val="tx1"/>
            </w14:solidFill>
          </w14:textFill>
        </w:rPr>
        <w:t>。</w:t>
      </w:r>
    </w:p>
    <w:p w14:paraId="3D2AE3DC">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预付款支付期限：</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  </w:t>
      </w:r>
      <w:r>
        <w:rPr>
          <w:rFonts w:hint="eastAsia" w:ascii="宋体" w:hAnsi="宋体"/>
          <w:color w:val="000000" w:themeColor="text1"/>
          <w:szCs w:val="21"/>
          <w:highlight w:val="none"/>
          <w14:textFill>
            <w14:solidFill>
              <w14:schemeClr w14:val="tx1"/>
            </w14:solidFill>
          </w14:textFill>
        </w:rPr>
        <w:t>。</w:t>
      </w:r>
    </w:p>
    <w:p w14:paraId="504457E3">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预付款扣回的方式：</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 </w:t>
      </w:r>
      <w:r>
        <w:rPr>
          <w:rFonts w:hint="eastAsia" w:ascii="宋体" w:hAnsi="宋体"/>
          <w:color w:val="000000" w:themeColor="text1"/>
          <w:szCs w:val="21"/>
          <w:highlight w:val="none"/>
          <w14:textFill>
            <w14:solidFill>
              <w14:schemeClr w14:val="tx1"/>
            </w14:solidFill>
          </w14:textFill>
        </w:rPr>
        <w:t>。</w:t>
      </w:r>
    </w:p>
    <w:p w14:paraId="582D7EC8">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12.2.2 预付款担保</w:t>
      </w:r>
    </w:p>
    <w:p w14:paraId="02940C1D">
      <w:pPr>
        <w:spacing w:line="360" w:lineRule="auto"/>
        <w:ind w:firstLine="420" w:firstLineChars="200"/>
        <w:jc w:val="left"/>
        <w:rPr>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承包人提交预付款担保的</w:t>
      </w:r>
      <w:r>
        <w:rPr>
          <w:rFonts w:hint="eastAsia" w:ascii="宋体" w:hAnsi="宋体"/>
          <w:color w:val="000000" w:themeColor="text1"/>
          <w:szCs w:val="21"/>
          <w:highlight w:val="none"/>
          <w14:textFill>
            <w14:solidFill>
              <w14:schemeClr w14:val="tx1"/>
            </w14:solidFill>
          </w14:textFill>
        </w:rPr>
        <w:t>期限及比例</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 </w:t>
      </w:r>
      <w:r>
        <w:rPr>
          <w:rFonts w:hint="eastAsia" w:ascii="宋体" w:hAnsi="宋体"/>
          <w:color w:val="000000" w:themeColor="text1"/>
          <w:szCs w:val="21"/>
          <w:highlight w:val="none"/>
          <w14:textFill>
            <w14:solidFill>
              <w14:schemeClr w14:val="tx1"/>
            </w14:solidFill>
          </w14:textFill>
        </w:rPr>
        <w:t>。</w:t>
      </w:r>
    </w:p>
    <w:p w14:paraId="608B64D2">
      <w:pPr>
        <w:tabs>
          <w:tab w:val="left" w:pos="3686"/>
        </w:tabs>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担保时效：</w:t>
      </w:r>
      <w:r>
        <w:rPr>
          <w:rFonts w:hint="eastAsia"/>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 </w:t>
      </w:r>
      <w:r>
        <w:rPr>
          <w:rFonts w:hint="eastAsia"/>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5E11F1D8">
      <w:pPr>
        <w:tabs>
          <w:tab w:val="left" w:pos="3686"/>
        </w:tabs>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预付款担保的形式为：</w:t>
      </w:r>
      <w:r>
        <w:rPr>
          <w:rFonts w:hint="eastAsia" w:ascii="宋体" w:hAnsi="宋体"/>
          <w:color w:val="000000" w:themeColor="text1"/>
          <w:szCs w:val="21"/>
          <w:highlight w:val="none"/>
          <w:u w:val="single"/>
          <w14:textFill>
            <w14:solidFill>
              <w14:schemeClr w14:val="tx1"/>
            </w14:solidFill>
          </w14:textFill>
        </w:rPr>
        <w:t xml:space="preserve">  / </w:t>
      </w:r>
      <w:r>
        <w:rPr>
          <w:rFonts w:hint="eastAsia"/>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76ADEEB3">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12.3 计量</w:t>
      </w:r>
    </w:p>
    <w:p w14:paraId="79218677">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12.3.1 计量原则</w:t>
      </w:r>
    </w:p>
    <w:p w14:paraId="0E9A4621">
      <w:pPr>
        <w:spacing w:line="360" w:lineRule="auto"/>
        <w:ind w:firstLine="420" w:firstLineChars="200"/>
        <w:jc w:val="left"/>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工程量计算规则：</w:t>
      </w:r>
      <w:r>
        <w:rPr>
          <w:rFonts w:hint="eastAsia" w:ascii="宋体" w:hAnsi="宋体"/>
          <w:color w:val="000000" w:themeColor="text1"/>
          <w:szCs w:val="21"/>
          <w:highlight w:val="none"/>
          <w:u w:val="single"/>
          <w14:textFill>
            <w14:solidFill>
              <w14:schemeClr w14:val="tx1"/>
            </w14:solidFill>
          </w14:textFill>
        </w:rPr>
        <w:t>工程量清单计价规范（陕西-2009）及09价目表、《陕西省建设工程工程量清单计价规则》(2009年)、《陕西省装饰工程价目表》（2009）、《陕西省安装工程价目表》（2009）、《关于调整我省建设工程计价依据的通知》（陕建发〔2019〕45号）、《关于发布我省落实建筑工人实名制管理计价依据的通知》（陕建发〔2019〕1246号文）、《关于建筑施工安全生产责任保险费用计价的通知》（陕建发〔2020〕1097号文）、《关于全省统一停止收缴建筑业劳保费用的通知》（陕建发〔2021〕1021号文）、《关于调整房屋建筑和市政基础设施工程工程量清单计价综合人工单价的通知》（陕建发〔2021〕1097号文）</w:t>
      </w:r>
      <w:r>
        <w:rPr>
          <w:rFonts w:hint="eastAsia" w:ascii="宋体" w:hAnsi="宋体"/>
          <w:color w:val="000000" w:themeColor="text1"/>
          <w:szCs w:val="21"/>
          <w:highlight w:val="none"/>
          <w:u w:val="single"/>
          <w:lang w:eastAsia="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其他相关资料。</w:t>
      </w:r>
    </w:p>
    <w:p w14:paraId="6A50ABFD">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12.3.2 计量周期</w:t>
      </w:r>
    </w:p>
    <w:p w14:paraId="485B8924">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关于计量周期的约定：</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按周计量</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58494BD9">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12.3.3 单价合同的计量</w:t>
      </w:r>
    </w:p>
    <w:p w14:paraId="3C461DC6">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关于单价合同计量的约定：</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执行通用条款 </w:t>
      </w:r>
      <w:r>
        <w:rPr>
          <w:rFonts w:ascii="宋体" w:hAnsi="宋体"/>
          <w:color w:val="000000" w:themeColor="text1"/>
          <w:szCs w:val="21"/>
          <w:highlight w:val="none"/>
          <w14:textFill>
            <w14:solidFill>
              <w14:schemeClr w14:val="tx1"/>
            </w14:solidFill>
          </w14:textFill>
        </w:rPr>
        <w:t>。</w:t>
      </w:r>
    </w:p>
    <w:p w14:paraId="294F82AD">
      <w:pPr>
        <w:spacing w:line="360" w:lineRule="auto"/>
        <w:ind w:firstLine="420" w:firstLineChars="200"/>
        <w:rPr>
          <w:rFonts w:ascii="宋体" w:hAnsi="宋体"/>
          <w:color w:val="000000" w:themeColor="text1"/>
          <w:szCs w:val="21"/>
          <w:highlight w:val="none"/>
          <w14:textFill>
            <w14:solidFill>
              <w14:schemeClr w14:val="tx1"/>
            </w14:solidFill>
          </w14:textFill>
        </w:rPr>
      </w:pPr>
      <w:bookmarkStart w:id="381" w:name="_Toc292559921"/>
      <w:bookmarkStart w:id="382" w:name="_Toc297123556"/>
      <w:bookmarkStart w:id="383" w:name="_Toc296891039"/>
      <w:bookmarkStart w:id="384" w:name="_Toc296347210"/>
      <w:bookmarkStart w:id="385" w:name="_Toc300935006"/>
      <w:bookmarkStart w:id="386" w:name="_Toc297216215"/>
      <w:bookmarkStart w:id="387" w:name="_Toc292559416"/>
      <w:bookmarkStart w:id="388" w:name="_Toc296346712"/>
      <w:bookmarkStart w:id="389" w:name="_Toc296503211"/>
      <w:bookmarkStart w:id="390" w:name="_Toc297048397"/>
      <w:bookmarkStart w:id="391" w:name="_Toc297120511"/>
      <w:bookmarkStart w:id="392" w:name="_Toc296891251"/>
      <w:bookmarkStart w:id="393" w:name="_Toc303539163"/>
      <w:bookmarkStart w:id="394" w:name="_Toc296944550"/>
      <w:r>
        <w:rPr>
          <w:rFonts w:ascii="宋体" w:hAnsi="宋体"/>
          <w:color w:val="000000" w:themeColor="text1"/>
          <w:szCs w:val="21"/>
          <w:highlight w:val="none"/>
          <w14:textFill>
            <w14:solidFill>
              <w14:schemeClr w14:val="tx1"/>
            </w14:solidFill>
          </w14:textFill>
        </w:rPr>
        <w:t>12.4 工程进度款支付</w:t>
      </w:r>
    </w:p>
    <w:p w14:paraId="1A07AFB5">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12.4.1 付款周期</w:t>
      </w:r>
    </w:p>
    <w:p w14:paraId="2E07031F">
      <w:pPr>
        <w:spacing w:line="360" w:lineRule="auto"/>
        <w:ind w:firstLine="420" w:firstLineChars="200"/>
        <w:rPr>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关于付款周期的约定：</w:t>
      </w:r>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14:paraId="6F0FDF74">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eastAsia="宋体" w:cs="宋体"/>
          <w:color w:val="FF0000"/>
          <w:sz w:val="21"/>
          <w:szCs w:val="21"/>
          <w:highlight w:val="none"/>
          <w:u w:val="single"/>
        </w:rPr>
      </w:pPr>
      <w:bookmarkStart w:id="395" w:name="_Toc24998"/>
      <w:bookmarkStart w:id="396" w:name="_Toc24653"/>
      <w:r>
        <w:rPr>
          <w:rFonts w:hint="eastAsia" w:ascii="宋体" w:hAnsi="宋体" w:eastAsia="宋体" w:cs="宋体"/>
          <w:color w:val="FF0000"/>
          <w:sz w:val="21"/>
          <w:szCs w:val="21"/>
          <w:highlight w:val="none"/>
          <w:u w:val="single"/>
        </w:rPr>
        <w:t>（1）竣工验收合格后，由采购人报送结算资料，结算资料审定</w:t>
      </w:r>
      <w:r>
        <w:rPr>
          <w:rFonts w:hint="eastAsia" w:ascii="宋体" w:hAnsi="宋体" w:eastAsia="宋体" w:cs="宋体"/>
          <w:color w:val="FF0000"/>
          <w:sz w:val="21"/>
          <w:szCs w:val="21"/>
          <w:highlight w:val="none"/>
          <w:u w:val="single"/>
          <w:lang w:val="en-US" w:eastAsia="zh-CN"/>
        </w:rPr>
        <w:t>完成且</w:t>
      </w:r>
      <w:r>
        <w:rPr>
          <w:rFonts w:hint="eastAsia" w:ascii="宋体" w:hAnsi="宋体" w:eastAsia="宋体" w:cs="宋体"/>
          <w:color w:val="FF0000"/>
          <w:sz w:val="21"/>
          <w:szCs w:val="21"/>
          <w:highlight w:val="none"/>
          <w:u w:val="single"/>
        </w:rPr>
        <w:t>专项资金</w:t>
      </w:r>
      <w:r>
        <w:rPr>
          <w:rFonts w:hint="eastAsia" w:ascii="宋体" w:hAnsi="宋体" w:eastAsia="宋体" w:cs="宋体"/>
          <w:color w:val="FF0000"/>
          <w:sz w:val="21"/>
          <w:szCs w:val="21"/>
          <w:highlight w:val="none"/>
          <w:u w:val="single"/>
          <w:lang w:val="en-US" w:eastAsia="zh-CN"/>
        </w:rPr>
        <w:t>到</w:t>
      </w:r>
      <w:r>
        <w:rPr>
          <w:rFonts w:hint="eastAsia" w:ascii="宋体" w:hAnsi="宋体" w:eastAsia="宋体" w:cs="宋体"/>
          <w:color w:val="FF0000"/>
          <w:sz w:val="21"/>
          <w:szCs w:val="21"/>
          <w:highlight w:val="none"/>
          <w:u w:val="single"/>
        </w:rPr>
        <w:t>账后</w:t>
      </w:r>
      <w:r>
        <w:rPr>
          <w:rFonts w:hint="eastAsia" w:ascii="宋体" w:hAnsi="宋体" w:eastAsia="宋体" w:cs="宋体"/>
          <w:color w:val="FF0000"/>
          <w:sz w:val="21"/>
          <w:szCs w:val="21"/>
          <w:highlight w:val="none"/>
          <w:u w:val="single"/>
          <w:lang w:val="en-US" w:eastAsia="zh-CN"/>
        </w:rPr>
        <w:t>30日</w:t>
      </w:r>
      <w:r>
        <w:rPr>
          <w:rFonts w:hint="eastAsia" w:ascii="宋体" w:hAnsi="宋体" w:eastAsia="宋体" w:cs="宋体"/>
          <w:color w:val="FF0000"/>
          <w:sz w:val="21"/>
          <w:szCs w:val="21"/>
          <w:highlight w:val="none"/>
          <w:u w:val="single"/>
        </w:rPr>
        <w:t>内</w:t>
      </w:r>
      <w:r>
        <w:rPr>
          <w:rFonts w:hint="eastAsia" w:ascii="宋体" w:hAnsi="宋体" w:eastAsia="宋体" w:cs="宋体"/>
          <w:color w:val="FF0000"/>
          <w:sz w:val="21"/>
          <w:szCs w:val="21"/>
          <w:highlight w:val="none"/>
          <w:u w:val="single"/>
          <w:lang w:val="en-US" w:eastAsia="zh-CN"/>
        </w:rPr>
        <w:t>一次性支付</w:t>
      </w:r>
      <w:r>
        <w:rPr>
          <w:rFonts w:hint="eastAsia" w:ascii="宋体" w:hAnsi="宋体" w:eastAsia="宋体" w:cs="宋体"/>
          <w:color w:val="FF0000"/>
          <w:sz w:val="21"/>
          <w:szCs w:val="21"/>
          <w:highlight w:val="none"/>
          <w:u w:val="single"/>
        </w:rPr>
        <w:t>至审定的结算工程造总价款</w:t>
      </w:r>
      <w:r>
        <w:rPr>
          <w:rFonts w:hint="eastAsia" w:ascii="宋体" w:hAnsi="宋体" w:eastAsia="宋体" w:cs="宋体"/>
          <w:color w:val="FF0000"/>
          <w:sz w:val="21"/>
          <w:szCs w:val="21"/>
          <w:highlight w:val="none"/>
          <w:u w:val="single"/>
          <w:lang w:val="en-US" w:eastAsia="zh-CN"/>
        </w:rPr>
        <w:t>100</w:t>
      </w:r>
      <w:r>
        <w:rPr>
          <w:rFonts w:hint="eastAsia" w:ascii="宋体" w:hAnsi="宋体" w:eastAsia="宋体" w:cs="宋体"/>
          <w:color w:val="FF0000"/>
          <w:sz w:val="21"/>
          <w:szCs w:val="21"/>
          <w:highlight w:val="none"/>
          <w:u w:val="single"/>
        </w:rPr>
        <w:t>%；</w:t>
      </w:r>
    </w:p>
    <w:p w14:paraId="38A458B2">
      <w:pPr>
        <w:pStyle w:val="5"/>
        <w:keepNext w:val="0"/>
        <w:keepLines w:val="0"/>
        <w:pageBreakBefore w:val="0"/>
        <w:kinsoku/>
        <w:wordWrap/>
        <w:overflowPunct/>
        <w:topLinePunct w:val="0"/>
        <w:autoSpaceDE/>
        <w:autoSpaceDN/>
        <w:bidi w:val="0"/>
        <w:spacing w:after="0" w:line="360" w:lineRule="auto"/>
        <w:ind w:firstLineChars="200"/>
        <w:textAlignment w:val="auto"/>
        <w:rPr>
          <w:rFonts w:hint="eastAsia" w:ascii="宋体" w:hAnsi="宋体" w:eastAsia="宋体" w:cs="宋体"/>
          <w:color w:val="FF0000"/>
          <w:sz w:val="21"/>
          <w:szCs w:val="21"/>
          <w:highlight w:val="none"/>
          <w:u w:val="single"/>
        </w:rPr>
      </w:pPr>
      <w:r>
        <w:rPr>
          <w:rFonts w:hint="eastAsia" w:ascii="宋体" w:hAnsi="宋体" w:eastAsia="宋体" w:cs="宋体"/>
          <w:color w:val="FF0000"/>
          <w:sz w:val="21"/>
          <w:szCs w:val="21"/>
          <w:highlight w:val="none"/>
          <w:u w:val="single"/>
        </w:rPr>
        <w:t>（</w:t>
      </w:r>
      <w:r>
        <w:rPr>
          <w:rFonts w:hint="eastAsia" w:ascii="宋体" w:hAnsi="宋体" w:eastAsia="宋体" w:cs="宋体"/>
          <w:color w:val="FF0000"/>
          <w:sz w:val="21"/>
          <w:szCs w:val="21"/>
          <w:highlight w:val="none"/>
          <w:u w:val="single"/>
          <w:lang w:val="en-US" w:eastAsia="zh-CN"/>
        </w:rPr>
        <w:t>2</w:t>
      </w:r>
      <w:r>
        <w:rPr>
          <w:rFonts w:hint="eastAsia" w:ascii="宋体" w:hAnsi="宋体" w:eastAsia="宋体" w:cs="宋体"/>
          <w:color w:val="FF0000"/>
          <w:sz w:val="21"/>
          <w:szCs w:val="21"/>
          <w:highlight w:val="none"/>
          <w:u w:val="single"/>
        </w:rPr>
        <w:t>）拨付款额时，如有发包人代缴的有关费用（如水、电费等）时，应予以扣除。</w:t>
      </w:r>
    </w:p>
    <w:p w14:paraId="62DFA0E1">
      <w:pPr>
        <w:pStyle w:val="5"/>
        <w:keepNext w:val="0"/>
        <w:keepLines w:val="0"/>
        <w:pageBreakBefore w:val="0"/>
        <w:kinsoku/>
        <w:wordWrap/>
        <w:overflowPunct/>
        <w:topLinePunct w:val="0"/>
        <w:autoSpaceDE/>
        <w:autoSpaceDN/>
        <w:bidi w:val="0"/>
        <w:spacing w:after="0" w:line="360" w:lineRule="auto"/>
        <w:ind w:firstLineChars="200"/>
        <w:textAlignment w:val="auto"/>
        <w:rPr>
          <w:rFonts w:hint="eastAsia" w:ascii="宋体" w:hAnsi="宋体" w:eastAsia="宋体" w:cs="宋体"/>
          <w:color w:val="FF0000"/>
          <w:sz w:val="21"/>
          <w:szCs w:val="21"/>
          <w:highlight w:val="none"/>
          <w:u w:val="single"/>
        </w:rPr>
      </w:pPr>
      <w:r>
        <w:rPr>
          <w:rFonts w:hint="eastAsia" w:ascii="宋体" w:hAnsi="宋体" w:eastAsia="宋体" w:cs="宋体"/>
          <w:color w:val="FF0000"/>
          <w:sz w:val="21"/>
          <w:szCs w:val="21"/>
          <w:highlight w:val="none"/>
          <w:u w:val="single"/>
        </w:rPr>
        <w:t>（</w:t>
      </w:r>
      <w:r>
        <w:rPr>
          <w:rFonts w:hint="eastAsia" w:ascii="宋体" w:hAnsi="宋体" w:eastAsia="宋体" w:cs="宋体"/>
          <w:color w:val="FF0000"/>
          <w:sz w:val="21"/>
          <w:szCs w:val="21"/>
          <w:highlight w:val="none"/>
          <w:u w:val="single"/>
          <w:lang w:val="en-US" w:eastAsia="zh-CN"/>
        </w:rPr>
        <w:t>3</w:t>
      </w:r>
      <w:r>
        <w:rPr>
          <w:rFonts w:hint="eastAsia" w:ascii="宋体" w:hAnsi="宋体" w:eastAsia="宋体" w:cs="宋体"/>
          <w:color w:val="FF0000"/>
          <w:sz w:val="21"/>
          <w:szCs w:val="21"/>
          <w:highlight w:val="none"/>
          <w:u w:val="single"/>
        </w:rPr>
        <w:t>）</w:t>
      </w:r>
      <w:r>
        <w:rPr>
          <w:rFonts w:hint="eastAsia" w:ascii="宋体" w:hAnsi="宋体" w:cs="宋体"/>
          <w:color w:val="FF0000"/>
          <w:sz w:val="21"/>
          <w:szCs w:val="21"/>
          <w:highlight w:val="none"/>
          <w:u w:val="single"/>
          <w:lang w:val="en-US" w:eastAsia="zh-CN"/>
        </w:rPr>
        <w:t>付</w:t>
      </w:r>
      <w:r>
        <w:rPr>
          <w:rFonts w:hint="eastAsia" w:ascii="宋体" w:hAnsi="宋体" w:eastAsia="宋体" w:cs="宋体"/>
          <w:color w:val="FF0000"/>
          <w:sz w:val="21"/>
          <w:szCs w:val="21"/>
          <w:highlight w:val="none"/>
          <w:u w:val="single"/>
        </w:rPr>
        <w:t>款前，承包人应按规定提前提供等额有效发票，发包人见票付款</w:t>
      </w:r>
      <w:r>
        <w:rPr>
          <w:rFonts w:hint="eastAsia" w:ascii="宋体" w:hAnsi="宋体" w:cs="宋体"/>
          <w:color w:val="FF0000"/>
          <w:sz w:val="21"/>
          <w:szCs w:val="21"/>
          <w:highlight w:val="none"/>
          <w:u w:val="single"/>
          <w:lang w:eastAsia="zh-CN"/>
        </w:rPr>
        <w:t>；</w:t>
      </w:r>
      <w:r>
        <w:rPr>
          <w:rFonts w:hint="eastAsia" w:ascii="宋体" w:hAnsi="宋体" w:eastAsia="宋体" w:cs="宋体"/>
          <w:color w:val="FF0000"/>
          <w:sz w:val="21"/>
          <w:szCs w:val="21"/>
          <w:highlight w:val="none"/>
          <w:u w:val="single"/>
        </w:rPr>
        <w:t>承包人不能提供有效发票的，发包人有权不支付工程款。</w:t>
      </w:r>
    </w:p>
    <w:p w14:paraId="5CB1A0FD">
      <w:pPr>
        <w:pStyle w:val="5"/>
        <w:keepNext w:val="0"/>
        <w:keepLines w:val="0"/>
        <w:pageBreakBefore w:val="0"/>
        <w:kinsoku/>
        <w:wordWrap/>
        <w:overflowPunct/>
        <w:topLinePunct w:val="0"/>
        <w:autoSpaceDE/>
        <w:autoSpaceDN/>
        <w:bidi w:val="0"/>
        <w:spacing w:after="0" w:line="360" w:lineRule="auto"/>
        <w:ind w:firstLineChars="200"/>
        <w:textAlignment w:val="auto"/>
        <w:rPr>
          <w:rFonts w:hint="eastAsia" w:ascii="宋体" w:hAnsi="宋体" w:eastAsia="宋体" w:cs="宋体"/>
          <w:color w:val="FF0000"/>
          <w:sz w:val="21"/>
          <w:szCs w:val="21"/>
          <w:highlight w:val="none"/>
          <w:u w:val="single"/>
          <w:lang w:eastAsia="zh-CN"/>
        </w:rPr>
      </w:pPr>
      <w:r>
        <w:rPr>
          <w:rFonts w:hint="eastAsia" w:ascii="宋体" w:hAnsi="宋体" w:eastAsia="宋体" w:cs="宋体"/>
          <w:color w:val="FF0000"/>
          <w:sz w:val="21"/>
          <w:szCs w:val="21"/>
          <w:highlight w:val="none"/>
          <w:u w:val="single"/>
        </w:rPr>
        <w:t>（</w:t>
      </w:r>
      <w:r>
        <w:rPr>
          <w:rFonts w:hint="eastAsia" w:ascii="宋体" w:hAnsi="宋体" w:eastAsia="宋体" w:cs="宋体"/>
          <w:color w:val="FF0000"/>
          <w:sz w:val="21"/>
          <w:szCs w:val="21"/>
          <w:highlight w:val="none"/>
          <w:u w:val="single"/>
          <w:lang w:val="en-US" w:eastAsia="zh-CN"/>
        </w:rPr>
        <w:t>4</w:t>
      </w:r>
      <w:r>
        <w:rPr>
          <w:rFonts w:hint="eastAsia" w:ascii="宋体" w:hAnsi="宋体" w:eastAsia="宋体" w:cs="宋体"/>
          <w:color w:val="FF0000"/>
          <w:sz w:val="21"/>
          <w:szCs w:val="21"/>
          <w:highlight w:val="none"/>
          <w:u w:val="single"/>
        </w:rPr>
        <w:t>）发包人所付款</w:t>
      </w:r>
      <w:r>
        <w:rPr>
          <w:rFonts w:hint="eastAsia" w:ascii="宋体" w:hAnsi="宋体" w:cs="宋体"/>
          <w:color w:val="FF0000"/>
          <w:sz w:val="21"/>
          <w:szCs w:val="21"/>
          <w:highlight w:val="none"/>
          <w:u w:val="single"/>
          <w:lang w:val="en-US" w:eastAsia="zh-CN"/>
        </w:rPr>
        <w:t>项</w:t>
      </w:r>
      <w:r>
        <w:rPr>
          <w:rFonts w:hint="eastAsia" w:ascii="宋体" w:hAnsi="宋体" w:eastAsia="宋体" w:cs="宋体"/>
          <w:color w:val="FF0000"/>
          <w:sz w:val="21"/>
          <w:szCs w:val="21"/>
          <w:highlight w:val="none"/>
          <w:u w:val="single"/>
        </w:rPr>
        <w:t>需财政部门审批，非因发包人故意拖延付款申请流程造成的逾期付款的，承包人对此予以谅解不得追究发包人的逾期付款责任</w:t>
      </w:r>
      <w:r>
        <w:rPr>
          <w:rFonts w:hint="eastAsia" w:ascii="宋体" w:hAnsi="宋体" w:cs="宋体"/>
          <w:color w:val="FF0000"/>
          <w:sz w:val="21"/>
          <w:szCs w:val="21"/>
          <w:highlight w:val="none"/>
          <w:u w:val="single"/>
          <w:lang w:eastAsia="zh-CN"/>
        </w:rPr>
        <w:t>。</w:t>
      </w:r>
    </w:p>
    <w:p w14:paraId="2081D1F4">
      <w:pPr>
        <w:pStyle w:val="5"/>
        <w:ind w:firstLine="0" w:firstLineChars="0"/>
        <w:rPr>
          <w:b/>
          <w:color w:val="000000" w:themeColor="text1"/>
          <w:highlight w:val="none"/>
          <w14:textFill>
            <w14:solidFill>
              <w14:schemeClr w14:val="tx1"/>
            </w14:solidFill>
          </w14:textFill>
        </w:rPr>
      </w:pPr>
      <w:r>
        <w:rPr>
          <w:rFonts w:hint="eastAsia"/>
          <w:b/>
          <w:color w:val="000000" w:themeColor="text1"/>
          <w:highlight w:val="none"/>
          <w14:textFill>
            <w14:solidFill>
              <w14:schemeClr w14:val="tx1"/>
            </w14:solidFill>
          </w14:textFill>
        </w:rPr>
        <w:t>13. 验收和工程试车</w:t>
      </w:r>
      <w:bookmarkEnd w:id="364"/>
      <w:bookmarkEnd w:id="395"/>
      <w:bookmarkEnd w:id="396"/>
    </w:p>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14:paraId="09EBE877">
      <w:pPr>
        <w:spacing w:line="360" w:lineRule="auto"/>
        <w:ind w:firstLine="420" w:firstLineChars="200"/>
        <w:rPr>
          <w:rFonts w:ascii="宋体" w:hAnsi="宋体"/>
          <w:color w:val="000000" w:themeColor="text1"/>
          <w:szCs w:val="21"/>
          <w:highlight w:val="none"/>
          <w14:textFill>
            <w14:solidFill>
              <w14:schemeClr w14:val="tx1"/>
            </w14:solidFill>
          </w14:textFill>
        </w:rPr>
      </w:pPr>
      <w:bookmarkStart w:id="397" w:name="_Toc304295596"/>
      <w:bookmarkStart w:id="398" w:name="_Toc296503223"/>
      <w:bookmarkStart w:id="399" w:name="_Toc297120523"/>
      <w:bookmarkStart w:id="400" w:name="_Toc296891051"/>
      <w:bookmarkStart w:id="401" w:name="_Toc297123565"/>
      <w:bookmarkStart w:id="402" w:name="_Toc296346724"/>
      <w:bookmarkStart w:id="403" w:name="_Toc296944562"/>
      <w:bookmarkStart w:id="404" w:name="_Toc300935016"/>
      <w:bookmarkStart w:id="405" w:name="_Toc292559933"/>
      <w:bookmarkStart w:id="406" w:name="_Toc312678056"/>
      <w:bookmarkStart w:id="407" w:name="_Toc303539173"/>
      <w:bookmarkStart w:id="408" w:name="_Toc297216224"/>
      <w:bookmarkStart w:id="409" w:name="_Toc292559428"/>
      <w:bookmarkStart w:id="410" w:name="_Toc297048409"/>
      <w:bookmarkStart w:id="411" w:name="_Toc296891263"/>
      <w:bookmarkStart w:id="412" w:name="_Toc296347222"/>
      <w:bookmarkStart w:id="413" w:name="_Toc267251475"/>
      <w:bookmarkStart w:id="414" w:name="_Toc267251472"/>
      <w:bookmarkStart w:id="415" w:name="_Toc267251473"/>
      <w:bookmarkStart w:id="416" w:name="_Toc267251476"/>
      <w:bookmarkStart w:id="417" w:name="_Toc267251471"/>
      <w:bookmarkStart w:id="418" w:name="_Toc267251470"/>
      <w:bookmarkStart w:id="419" w:name="_Toc267251474"/>
      <w:r>
        <w:rPr>
          <w:rFonts w:ascii="宋体" w:hAnsi="宋体"/>
          <w:color w:val="000000" w:themeColor="text1"/>
          <w:szCs w:val="21"/>
          <w:highlight w:val="none"/>
          <w14:textFill>
            <w14:solidFill>
              <w14:schemeClr w14:val="tx1"/>
            </w14:solidFill>
          </w14:textFill>
        </w:rPr>
        <w:t>13.2 竣工验收</w:t>
      </w:r>
    </w:p>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14:paraId="43FB58A2">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bookmarkStart w:id="420" w:name="_Toc280868704"/>
      <w:bookmarkStart w:id="421" w:name="_Toc280868705"/>
      <w:bookmarkStart w:id="422" w:name="_Toc280868706"/>
      <w:bookmarkStart w:id="423" w:name="_Toc280868707"/>
      <w:bookmarkStart w:id="424" w:name="_Toc280868708"/>
      <w:bookmarkStart w:id="425" w:name="_Toc280868709"/>
      <w:r>
        <w:rPr>
          <w:rFonts w:ascii="宋体" w:hAnsi="宋体"/>
          <w:color w:val="000000" w:themeColor="text1"/>
          <w:szCs w:val="21"/>
          <w:highlight w:val="none"/>
          <w14:textFill>
            <w14:solidFill>
              <w14:schemeClr w14:val="tx1"/>
            </w14:solidFill>
          </w14:textFill>
        </w:rPr>
        <w:t>13.2.2竣工验收程序</w:t>
      </w:r>
    </w:p>
    <w:bookmarkEnd w:id="420"/>
    <w:p w14:paraId="31648766">
      <w:pPr>
        <w:spacing w:line="360" w:lineRule="auto"/>
        <w:ind w:firstLine="420" w:firstLineChars="200"/>
        <w:jc w:val="left"/>
        <w:rPr>
          <w:color w:val="000000" w:themeColor="text1"/>
          <w:szCs w:val="21"/>
          <w:highlight w:val="none"/>
          <w:u w:val="singl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关于竣工验收程序的约定：</w:t>
      </w:r>
      <w:r>
        <w:rPr>
          <w:rFonts w:hint="eastAsia" w:ascii="宋体" w:hAnsi="宋体" w:cs="宋体"/>
          <w:color w:val="000000" w:themeColor="text1"/>
          <w:szCs w:val="21"/>
          <w:highlight w:val="none"/>
          <w:u w:val="single"/>
          <w14:textFill>
            <w14:solidFill>
              <w14:schemeClr w14:val="tx1"/>
            </w14:solidFill>
          </w14:textFill>
        </w:rPr>
        <w:t>承包人按国家、陕西省、西安市相关规定，完成验收后，进行工程竣工验收。</w:t>
      </w:r>
      <w:r>
        <w:rPr>
          <w:color w:val="000000" w:themeColor="text1"/>
          <w:szCs w:val="21"/>
          <w:highlight w:val="none"/>
          <w:u w:val="single"/>
          <w14:textFill>
            <w14:solidFill>
              <w14:schemeClr w14:val="tx1"/>
            </w14:solidFill>
          </w14:textFill>
        </w:rPr>
        <w:t>竣工验收后一个月内，</w:t>
      </w:r>
      <w:r>
        <w:rPr>
          <w:rFonts w:hint="eastAsia"/>
          <w:color w:val="000000" w:themeColor="text1"/>
          <w:szCs w:val="21"/>
          <w:highlight w:val="none"/>
          <w:u w:val="single"/>
          <w14:textFill>
            <w14:solidFill>
              <w14:schemeClr w14:val="tx1"/>
            </w14:solidFill>
          </w14:textFill>
        </w:rPr>
        <w:t>提交竣工图及完整资料文件四套。</w:t>
      </w:r>
    </w:p>
    <w:p w14:paraId="3034D517">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发包人不按照本项约定组织竣工验收、颁发</w:t>
      </w:r>
      <w:r>
        <w:rPr>
          <w:rFonts w:hint="eastAsia" w:ascii="宋体" w:hAnsi="宋体"/>
          <w:color w:val="000000" w:themeColor="text1"/>
          <w:kern w:val="0"/>
          <w:szCs w:val="21"/>
          <w:highlight w:val="none"/>
          <w:lang w:eastAsia="zh-CN"/>
          <w14:textFill>
            <w14:solidFill>
              <w14:schemeClr w14:val="tx1"/>
            </w14:solidFill>
          </w14:textFill>
        </w:rPr>
        <w:t>工程验收</w:t>
      </w:r>
      <w:r>
        <w:rPr>
          <w:rFonts w:ascii="宋体" w:hAnsi="宋体"/>
          <w:color w:val="000000" w:themeColor="text1"/>
          <w:kern w:val="0"/>
          <w:szCs w:val="21"/>
          <w:highlight w:val="none"/>
          <w14:textFill>
            <w14:solidFill>
              <w14:schemeClr w14:val="tx1"/>
            </w14:solidFill>
          </w14:textFill>
        </w:rPr>
        <w:t>证书的违约金的计算方法：</w:t>
      </w:r>
      <w:r>
        <w:rPr>
          <w:rFonts w:hint="eastAsia" w:ascii="宋体" w:hAnsi="宋体"/>
          <w:color w:val="000000" w:themeColor="text1"/>
          <w:szCs w:val="21"/>
          <w:highlight w:val="none"/>
          <w:u w:val="single"/>
          <w14:textFill>
            <w14:solidFill>
              <w14:schemeClr w14:val="tx1"/>
            </w14:solidFill>
          </w14:textFill>
        </w:rPr>
        <w:t>无</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bookmarkEnd w:id="421"/>
    <w:p w14:paraId="1878A2EC">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13.2.5移交、接收全部与部分工程</w:t>
      </w:r>
    </w:p>
    <w:bookmarkEnd w:id="422"/>
    <w:p w14:paraId="5F6A88A7">
      <w:pPr>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承包人向发包人移交工程的期限：</w:t>
      </w:r>
      <w:r>
        <w:rPr>
          <w:rFonts w:ascii="宋体" w:hAnsi="宋体"/>
          <w:color w:val="000000" w:themeColor="text1"/>
          <w:kern w:val="0"/>
          <w:szCs w:val="21"/>
          <w:highlight w:val="none"/>
          <w:u w:val="single"/>
          <w14:textFill>
            <w14:solidFill>
              <w14:schemeClr w14:val="tx1"/>
            </w14:solidFill>
          </w14:textFill>
        </w:rPr>
        <w:t>颁发工程接收证书</w:t>
      </w:r>
      <w:r>
        <w:rPr>
          <w:rFonts w:hint="eastAsia" w:ascii="宋体" w:hAnsi="宋体"/>
          <w:color w:val="000000" w:themeColor="text1"/>
          <w:kern w:val="0"/>
          <w:szCs w:val="21"/>
          <w:highlight w:val="none"/>
          <w:u w:val="single"/>
          <w14:textFill>
            <w14:solidFill>
              <w14:schemeClr w14:val="tx1"/>
            </w14:solidFill>
          </w14:textFill>
        </w:rPr>
        <w:t>后7天内</w:t>
      </w:r>
      <w:r>
        <w:rPr>
          <w:rFonts w:hint="eastAsia" w:ascii="宋体" w:hAnsi="宋体"/>
          <w:color w:val="000000" w:themeColor="text1"/>
          <w:szCs w:val="21"/>
          <w:highlight w:val="none"/>
          <w14:textFill>
            <w14:solidFill>
              <w14:schemeClr w14:val="tx1"/>
            </w14:solidFill>
          </w14:textFill>
        </w:rPr>
        <w:t>。</w:t>
      </w:r>
    </w:p>
    <w:p w14:paraId="70DD2BF3">
      <w:pPr>
        <w:spacing w:line="360" w:lineRule="auto"/>
        <w:ind w:firstLine="420" w:firstLineChars="200"/>
        <w:jc w:val="left"/>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发包人未按本合同约定接收全部或部分工程的，违约金的计算方法为：</w:t>
      </w:r>
      <w:r>
        <w:rPr>
          <w:rFonts w:hint="eastAsia" w:ascii="宋体" w:hAnsi="宋体"/>
          <w:color w:val="000000" w:themeColor="text1"/>
          <w:szCs w:val="21"/>
          <w:highlight w:val="none"/>
          <w:u w:val="single"/>
          <w14:textFill>
            <w14:solidFill>
              <w14:schemeClr w14:val="tx1"/>
            </w14:solidFill>
          </w14:textFill>
        </w:rPr>
        <w:t>无</w:t>
      </w:r>
      <w:r>
        <w:rPr>
          <w:rFonts w:ascii="宋体" w:hAnsi="宋体"/>
          <w:color w:val="000000" w:themeColor="text1"/>
          <w:szCs w:val="21"/>
          <w:highlight w:val="none"/>
          <w14:textFill>
            <w14:solidFill>
              <w14:schemeClr w14:val="tx1"/>
            </w14:solidFill>
          </w14:textFill>
        </w:rPr>
        <w:t>。</w:t>
      </w:r>
    </w:p>
    <w:bookmarkEnd w:id="423"/>
    <w:p w14:paraId="76D7AA32">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承包人未按时移交工程的，违约金的计算方法为：</w:t>
      </w:r>
      <w:r>
        <w:rPr>
          <w:rFonts w:hint="eastAsia" w:ascii="宋体" w:hAnsi="宋体"/>
          <w:color w:val="000000" w:themeColor="text1"/>
          <w:szCs w:val="21"/>
          <w:highlight w:val="none"/>
          <w:u w:val="single"/>
          <w14:textFill>
            <w14:solidFill>
              <w14:schemeClr w14:val="tx1"/>
            </w14:solidFill>
          </w14:textFill>
        </w:rPr>
        <w:t>按专用条款7.5.2条执行</w:t>
      </w:r>
      <w:r>
        <w:rPr>
          <w:rFonts w:ascii="宋体" w:hAnsi="宋体"/>
          <w:color w:val="000000" w:themeColor="text1"/>
          <w:szCs w:val="21"/>
          <w:highlight w:val="none"/>
          <w14:textFill>
            <w14:solidFill>
              <w14:schemeClr w14:val="tx1"/>
            </w14:solidFill>
          </w14:textFill>
        </w:rPr>
        <w:t>。</w:t>
      </w:r>
    </w:p>
    <w:bookmarkEnd w:id="424"/>
    <w:p w14:paraId="07B76F1F">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13.6 竣工退场</w:t>
      </w:r>
    </w:p>
    <w:p w14:paraId="4AE82E6C">
      <w:pPr>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13.6.1 竣工退场</w:t>
      </w:r>
    </w:p>
    <w:p w14:paraId="26B708E1">
      <w:pPr>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承包人完成竣工退场的期限：</w:t>
      </w:r>
      <w:r>
        <w:rPr>
          <w:rFonts w:ascii="宋体" w:hAnsi="宋体"/>
          <w:color w:val="000000" w:themeColor="text1"/>
          <w:szCs w:val="21"/>
          <w:highlight w:val="none"/>
          <w:u w:val="single"/>
          <w14:textFill>
            <w14:solidFill>
              <w14:schemeClr w14:val="tx1"/>
            </w14:solidFill>
          </w14:textFill>
        </w:rPr>
        <w:t xml:space="preserve">   工程竣工移交后</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以发包人书面指令为准  </w:t>
      </w:r>
      <w:r>
        <w:rPr>
          <w:rFonts w:ascii="宋体" w:hAnsi="宋体"/>
          <w:color w:val="000000" w:themeColor="text1"/>
          <w:kern w:val="0"/>
          <w:szCs w:val="21"/>
          <w:highlight w:val="none"/>
          <w14:textFill>
            <w14:solidFill>
              <w14:schemeClr w14:val="tx1"/>
            </w14:solidFill>
          </w14:textFill>
        </w:rPr>
        <w:t>。</w:t>
      </w:r>
    </w:p>
    <w:p w14:paraId="6A8B5773">
      <w:pPr>
        <w:pStyle w:val="5"/>
        <w:ind w:firstLine="0" w:firstLineChars="0"/>
        <w:rPr>
          <w:b/>
          <w:color w:val="000000" w:themeColor="text1"/>
          <w:highlight w:val="none"/>
          <w14:textFill>
            <w14:solidFill>
              <w14:schemeClr w14:val="tx1"/>
            </w14:solidFill>
          </w14:textFill>
        </w:rPr>
      </w:pPr>
      <w:bookmarkStart w:id="426" w:name="_Toc24256"/>
      <w:bookmarkStart w:id="427" w:name="_Toc31222"/>
      <w:bookmarkStart w:id="428" w:name="_Toc351203646"/>
      <w:r>
        <w:rPr>
          <w:rFonts w:hint="eastAsia"/>
          <w:b/>
          <w:color w:val="000000" w:themeColor="text1"/>
          <w:highlight w:val="none"/>
          <w14:textFill>
            <w14:solidFill>
              <w14:schemeClr w14:val="tx1"/>
            </w14:solidFill>
          </w14:textFill>
        </w:rPr>
        <w:t>14. 竣工结算</w:t>
      </w:r>
      <w:bookmarkEnd w:id="426"/>
      <w:bookmarkEnd w:id="427"/>
      <w:bookmarkEnd w:id="428"/>
    </w:p>
    <w:p w14:paraId="2DF21154">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14.1 竣工付款申请</w:t>
      </w:r>
    </w:p>
    <w:p w14:paraId="7423E6D2">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承包人提交竣工付款申请单的期限：</w:t>
      </w:r>
      <w:r>
        <w:rPr>
          <w:rFonts w:hint="eastAsia" w:ascii="宋体" w:hAnsi="宋体" w:cs="宋体"/>
          <w:color w:val="000000" w:themeColor="text1"/>
          <w:szCs w:val="21"/>
          <w:highlight w:val="none"/>
          <w:u w:val="single"/>
          <w14:textFill>
            <w14:solidFill>
              <w14:schemeClr w14:val="tx1"/>
            </w14:solidFill>
          </w14:textFill>
        </w:rPr>
        <w:t>提交的竣工验收报告获得发包人批准后，承包人应在</w:t>
      </w:r>
      <w:r>
        <w:rPr>
          <w:rFonts w:ascii="宋体" w:hAnsi="宋体" w:cs="宋体"/>
          <w:color w:val="000000" w:themeColor="text1"/>
          <w:szCs w:val="21"/>
          <w:highlight w:val="none"/>
          <w:u w:val="single"/>
          <w14:textFill>
            <w14:solidFill>
              <w14:schemeClr w14:val="tx1"/>
            </w14:solidFill>
          </w14:textFill>
        </w:rPr>
        <w:t>30</w:t>
      </w:r>
      <w:r>
        <w:rPr>
          <w:rFonts w:hint="eastAsia" w:ascii="宋体" w:hAnsi="宋体" w:cs="宋体"/>
          <w:color w:val="000000" w:themeColor="text1"/>
          <w:szCs w:val="21"/>
          <w:highlight w:val="none"/>
          <w:u w:val="single"/>
          <w14:textFill>
            <w14:solidFill>
              <w14:schemeClr w14:val="tx1"/>
            </w14:solidFill>
          </w14:textFill>
        </w:rPr>
        <w:t>个工作日内办理并提交“竣工结算资料”</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1A17E736">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竣工付款申请单应包括的内容：</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竣工结算合同总价、已支付的工程价款、应扣留的质量保证金、应支付的竣工付款金额及相关证明材料等</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3339AD3A">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14.2 竣工结算审核</w:t>
      </w:r>
    </w:p>
    <w:p w14:paraId="64FF2DCA">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发包人</w:t>
      </w:r>
      <w:r>
        <w:rPr>
          <w:rFonts w:hint="eastAsia" w:ascii="宋体" w:hAnsi="宋体"/>
          <w:color w:val="000000" w:themeColor="text1"/>
          <w:szCs w:val="21"/>
          <w:highlight w:val="none"/>
          <w14:textFill>
            <w14:solidFill>
              <w14:schemeClr w14:val="tx1"/>
            </w14:solidFill>
          </w14:textFill>
        </w:rPr>
        <w:t>审批</w:t>
      </w:r>
      <w:r>
        <w:rPr>
          <w:rFonts w:ascii="宋体" w:hAnsi="宋体"/>
          <w:color w:val="000000" w:themeColor="text1"/>
          <w:szCs w:val="21"/>
          <w:highlight w:val="none"/>
          <w14:textFill>
            <w14:solidFill>
              <w14:schemeClr w14:val="tx1"/>
            </w14:solidFill>
          </w14:textFill>
        </w:rPr>
        <w:t>竣工付款申请单的期限：</w:t>
      </w:r>
      <w:r>
        <w:rPr>
          <w:rFonts w:hint="eastAsia" w:ascii="宋体" w:hAnsi="宋体"/>
          <w:color w:val="000000" w:themeColor="text1"/>
          <w:szCs w:val="21"/>
          <w:highlight w:val="none"/>
          <w:u w:val="single"/>
          <w14:textFill>
            <w14:solidFill>
              <w14:schemeClr w14:val="tx1"/>
            </w14:solidFill>
          </w14:textFill>
        </w:rPr>
        <w:t>结算审查期限，从收到承包人上报的完整的竣工结算资料（竣工图、变更、签证、认价单、结算书、结算申请单）之日起，1个月内审核完成或提出修改意见，结算时间最长不超过12个月</w:t>
      </w:r>
      <w:r>
        <w:rPr>
          <w:rFonts w:ascii="宋体" w:hAnsi="宋体"/>
          <w:color w:val="000000" w:themeColor="text1"/>
          <w:szCs w:val="21"/>
          <w:highlight w:val="none"/>
          <w14:textFill>
            <w14:solidFill>
              <w14:schemeClr w14:val="tx1"/>
            </w14:solidFill>
          </w14:textFill>
        </w:rPr>
        <w:t>。</w:t>
      </w:r>
    </w:p>
    <w:p w14:paraId="1C52E1C3">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发包人完成竣工付款的期限：</w:t>
      </w:r>
      <w:r>
        <w:rPr>
          <w:rFonts w:hint="eastAsia" w:ascii="宋体" w:hAnsi="宋体"/>
          <w:color w:val="000000" w:themeColor="text1"/>
          <w:szCs w:val="21"/>
          <w:highlight w:val="none"/>
          <w:u w:val="single"/>
          <w14:textFill>
            <w14:solidFill>
              <w14:schemeClr w14:val="tx1"/>
            </w14:solidFill>
          </w14:textFill>
        </w:rPr>
        <w:t>发包人委托的第三方造价审计机构出具正式结算报告后1个月内</w:t>
      </w:r>
      <w:r>
        <w:rPr>
          <w:rFonts w:ascii="宋体" w:hAnsi="宋体"/>
          <w:color w:val="000000" w:themeColor="text1"/>
          <w:szCs w:val="21"/>
          <w:highlight w:val="none"/>
          <w14:textFill>
            <w14:solidFill>
              <w14:schemeClr w14:val="tx1"/>
            </w14:solidFill>
          </w14:textFill>
        </w:rPr>
        <w:t>。</w:t>
      </w:r>
    </w:p>
    <w:p w14:paraId="3494F8E2">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关于竣工付款证书异议部分复核的方式和程序：</w:t>
      </w:r>
      <w:r>
        <w:rPr>
          <w:rFonts w:hint="eastAsia" w:ascii="宋体" w:hAnsi="宋体"/>
          <w:color w:val="000000" w:themeColor="text1"/>
          <w:szCs w:val="21"/>
          <w:highlight w:val="none"/>
          <w:u w:val="single"/>
          <w14:textFill>
            <w14:solidFill>
              <w14:schemeClr w14:val="tx1"/>
            </w14:solidFill>
          </w14:textFill>
        </w:rPr>
        <w:t>由发包人委托的第三方造价审计机构进行复核</w:t>
      </w:r>
      <w:r>
        <w:rPr>
          <w:rFonts w:ascii="宋体" w:hAnsi="宋体"/>
          <w:color w:val="000000" w:themeColor="text1"/>
          <w:szCs w:val="21"/>
          <w:highlight w:val="none"/>
          <w14:textFill>
            <w14:solidFill>
              <w14:schemeClr w14:val="tx1"/>
            </w14:solidFill>
          </w14:textFill>
        </w:rPr>
        <w:t>。</w:t>
      </w:r>
    </w:p>
    <w:p w14:paraId="3C68DCB5">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14.4 最终结清</w:t>
      </w:r>
    </w:p>
    <w:p w14:paraId="554F9684">
      <w:pPr>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14.4.1 最终结清申请单</w:t>
      </w:r>
    </w:p>
    <w:p w14:paraId="5C469A52">
      <w:pPr>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承包人提交最终结清申请单的份数：</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6份</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01D240D6">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承包人提交最终结算申请单的期限：</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在缺陷责任期终止证书颁发后10天内</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p>
    <w:p w14:paraId="5510BD03">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14.4.2 最终结清证书和支付</w:t>
      </w:r>
    </w:p>
    <w:p w14:paraId="64EFC65E">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（1）发包人完成最终结清申请单的</w:t>
      </w:r>
      <w:r>
        <w:rPr>
          <w:rFonts w:hint="eastAsia" w:ascii="宋体" w:hAnsi="宋体"/>
          <w:color w:val="000000" w:themeColor="text1"/>
          <w:szCs w:val="21"/>
          <w:highlight w:val="none"/>
          <w14:textFill>
            <w14:solidFill>
              <w14:schemeClr w14:val="tx1"/>
            </w14:solidFill>
          </w14:textFill>
        </w:rPr>
        <w:t>审批</w:t>
      </w:r>
      <w:r>
        <w:rPr>
          <w:rFonts w:ascii="宋体" w:hAnsi="宋体"/>
          <w:color w:val="000000" w:themeColor="text1"/>
          <w:szCs w:val="21"/>
          <w:highlight w:val="none"/>
          <w14:textFill>
            <w14:solidFill>
              <w14:schemeClr w14:val="tx1"/>
            </w14:solidFill>
          </w14:textFill>
        </w:rPr>
        <w:t>并颁发最终结清证书的期限：</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执行通用条款</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2C68A6C8">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（2）发包人完成支付的期限：</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执行通用条款</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bookmarkEnd w:id="413"/>
      <w:bookmarkEnd w:id="414"/>
      <w:bookmarkEnd w:id="415"/>
      <w:bookmarkEnd w:id="416"/>
      <w:bookmarkEnd w:id="417"/>
      <w:bookmarkEnd w:id="418"/>
      <w:bookmarkEnd w:id="419"/>
      <w:bookmarkEnd w:id="425"/>
      <w:bookmarkStart w:id="429" w:name="_Toc11183"/>
      <w:bookmarkStart w:id="430" w:name="_Toc351203647"/>
      <w:bookmarkStart w:id="431" w:name="_Toc15523"/>
      <w:bookmarkStart w:id="432" w:name="_Toc267251482"/>
      <w:bookmarkStart w:id="433" w:name="_Toc267251490"/>
      <w:bookmarkStart w:id="434" w:name="_Toc267251488"/>
      <w:bookmarkStart w:id="435" w:name="_Toc267251484"/>
      <w:bookmarkStart w:id="436" w:name="_Toc267251483"/>
      <w:bookmarkStart w:id="437" w:name="_Toc267251485"/>
      <w:bookmarkStart w:id="438" w:name="_Toc267251486"/>
      <w:bookmarkStart w:id="439" w:name="_Toc267251489"/>
      <w:bookmarkStart w:id="440" w:name="_Toc267251501"/>
      <w:bookmarkStart w:id="441" w:name="_Toc267251496"/>
      <w:bookmarkStart w:id="442" w:name="_Toc267251494"/>
      <w:bookmarkStart w:id="443" w:name="_Toc267251503"/>
      <w:bookmarkStart w:id="444" w:name="_Toc267251497"/>
      <w:bookmarkStart w:id="445" w:name="_Toc267251502"/>
      <w:bookmarkStart w:id="446" w:name="_Toc267251493"/>
      <w:bookmarkStart w:id="447" w:name="_Toc267251495"/>
      <w:bookmarkStart w:id="448" w:name="_Toc267251498"/>
      <w:bookmarkStart w:id="449" w:name="_Toc267251499"/>
      <w:bookmarkStart w:id="450" w:name="_Toc267251492"/>
      <w:bookmarkStart w:id="451" w:name="_Toc267251491"/>
      <w:bookmarkStart w:id="452" w:name="_Toc267251504"/>
      <w:bookmarkStart w:id="453" w:name="_Toc267251506"/>
      <w:bookmarkStart w:id="454" w:name="_Toc267251507"/>
      <w:bookmarkStart w:id="455" w:name="_Toc267251508"/>
      <w:bookmarkStart w:id="456" w:name="_Toc267251513"/>
      <w:bookmarkStart w:id="457" w:name="_Toc267251514"/>
      <w:bookmarkStart w:id="458" w:name="_Toc267251511"/>
      <w:bookmarkStart w:id="459" w:name="_Toc267251509"/>
      <w:bookmarkStart w:id="460" w:name="_Toc267251515"/>
      <w:bookmarkStart w:id="461" w:name="_Toc267251510"/>
    </w:p>
    <w:p w14:paraId="260DEF9E">
      <w:pPr>
        <w:pStyle w:val="5"/>
        <w:ind w:firstLine="0" w:firstLineChars="0"/>
        <w:rPr>
          <w:b/>
          <w:color w:val="000000" w:themeColor="text1"/>
          <w:highlight w:val="none"/>
          <w14:textFill>
            <w14:solidFill>
              <w14:schemeClr w14:val="tx1"/>
            </w14:solidFill>
          </w14:textFill>
        </w:rPr>
      </w:pPr>
      <w:r>
        <w:rPr>
          <w:rFonts w:hint="eastAsia"/>
          <w:b/>
          <w:color w:val="000000" w:themeColor="text1"/>
          <w:highlight w:val="none"/>
          <w14:textFill>
            <w14:solidFill>
              <w14:schemeClr w14:val="tx1"/>
            </w14:solidFill>
          </w14:textFill>
        </w:rPr>
        <w:t>15. 缺陷责任期与保修</w:t>
      </w:r>
      <w:bookmarkEnd w:id="429"/>
      <w:bookmarkEnd w:id="430"/>
      <w:bookmarkEnd w:id="431"/>
    </w:p>
    <w:bookmarkEnd w:id="432"/>
    <w:bookmarkEnd w:id="433"/>
    <w:bookmarkEnd w:id="434"/>
    <w:bookmarkEnd w:id="435"/>
    <w:bookmarkEnd w:id="436"/>
    <w:bookmarkEnd w:id="437"/>
    <w:bookmarkEnd w:id="438"/>
    <w:bookmarkEnd w:id="439"/>
    <w:p w14:paraId="176DDCE0">
      <w:pPr>
        <w:spacing w:line="360" w:lineRule="auto"/>
        <w:ind w:firstLine="420" w:firstLineChars="200"/>
        <w:rPr>
          <w:rFonts w:ascii="宋体" w:hAnsi="宋体"/>
          <w:color w:val="000000" w:themeColor="text1"/>
          <w:szCs w:val="21"/>
          <w:highlight w:val="none"/>
          <w14:textFill>
            <w14:solidFill>
              <w14:schemeClr w14:val="tx1"/>
            </w14:solidFill>
          </w14:textFill>
        </w:rPr>
      </w:pPr>
      <w:bookmarkStart w:id="462" w:name="_Toc351203648"/>
      <w:bookmarkStart w:id="463" w:name="_Toc280868717"/>
      <w:bookmarkStart w:id="464" w:name="_Toc280868718"/>
      <w:r>
        <w:rPr>
          <w:rFonts w:ascii="宋体" w:hAnsi="宋体"/>
          <w:color w:val="000000" w:themeColor="text1"/>
          <w:szCs w:val="21"/>
          <w:highlight w:val="none"/>
          <w14:textFill>
            <w14:solidFill>
              <w14:schemeClr w14:val="tx1"/>
            </w14:solidFill>
          </w14:textFill>
        </w:rPr>
        <w:t>15.2缺陷责任期</w:t>
      </w:r>
    </w:p>
    <w:p w14:paraId="48431EA8">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缺陷责任期的具体期限：</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14:textFill>
            <w14:solidFill>
              <w14:schemeClr w14:val="tx1"/>
            </w14:solidFill>
          </w14:textFill>
        </w:rPr>
        <w:t>。</w:t>
      </w:r>
    </w:p>
    <w:p w14:paraId="201CD35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15.3 质量保证金</w:t>
      </w:r>
    </w:p>
    <w:p w14:paraId="2625F7B2">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关于是否扣留质量保证金的约定：</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p>
    <w:p w14:paraId="50D8850F">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 xml:space="preserve">15.3.1 </w:t>
      </w:r>
      <w:r>
        <w:rPr>
          <w:rFonts w:hint="eastAsia" w:ascii="宋体" w:hAnsi="宋体"/>
          <w:color w:val="000000" w:themeColor="text1"/>
          <w:szCs w:val="21"/>
          <w:highlight w:val="none"/>
          <w14:textFill>
            <w14:solidFill>
              <w14:schemeClr w14:val="tx1"/>
            </w14:solidFill>
          </w14:textFill>
        </w:rPr>
        <w:t>承包人提供</w:t>
      </w:r>
      <w:r>
        <w:rPr>
          <w:rFonts w:ascii="宋体" w:hAnsi="宋体"/>
          <w:color w:val="000000" w:themeColor="text1"/>
          <w:szCs w:val="21"/>
          <w:highlight w:val="none"/>
          <w14:textFill>
            <w14:solidFill>
              <w14:schemeClr w14:val="tx1"/>
            </w14:solidFill>
          </w14:textFill>
        </w:rPr>
        <w:t>质量保证金的</w:t>
      </w:r>
      <w:r>
        <w:rPr>
          <w:rFonts w:hint="eastAsia" w:ascii="宋体" w:hAnsi="宋体"/>
          <w:color w:val="000000" w:themeColor="text1"/>
          <w:szCs w:val="21"/>
          <w:highlight w:val="none"/>
          <w14:textFill>
            <w14:solidFill>
              <w14:schemeClr w14:val="tx1"/>
            </w14:solidFill>
          </w14:textFill>
        </w:rPr>
        <w:t>方</w:t>
      </w:r>
      <w:r>
        <w:rPr>
          <w:rFonts w:ascii="宋体" w:hAnsi="宋体"/>
          <w:color w:val="000000" w:themeColor="text1"/>
          <w:szCs w:val="21"/>
          <w:highlight w:val="none"/>
          <w14:textFill>
            <w14:solidFill>
              <w14:schemeClr w14:val="tx1"/>
            </w14:solidFill>
          </w14:textFill>
        </w:rPr>
        <w:t>式</w:t>
      </w:r>
    </w:p>
    <w:p w14:paraId="1F515C63">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质量保证金采用以下第</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种方式：</w:t>
      </w:r>
    </w:p>
    <w:p w14:paraId="6879FEEF">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（1）质量保证金保函，保证金额为：</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   </w:t>
      </w:r>
      <w:r>
        <w:rPr>
          <w:rFonts w:ascii="宋体" w:hAnsi="宋体"/>
          <w:color w:val="000000" w:themeColor="text1"/>
          <w:szCs w:val="21"/>
          <w:highlight w:val="none"/>
          <w14:textFill>
            <w14:solidFill>
              <w14:schemeClr w14:val="tx1"/>
            </w14:solidFill>
          </w14:textFill>
        </w:rPr>
        <w:t xml:space="preserve">； </w:t>
      </w:r>
    </w:p>
    <w:p w14:paraId="0D8ED916">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ascii="宋体" w:hAnsi="宋体"/>
          <w:color w:val="000000" w:themeColor="text1"/>
          <w:szCs w:val="21"/>
          <w:highlight w:val="none"/>
          <w:u w:val="single"/>
          <w14:textFill>
            <w14:solidFill>
              <w14:schemeClr w14:val="tx1"/>
            </w14:solidFill>
          </w14:textFill>
        </w:rPr>
        <w:t xml:space="preserve">  /  </w:t>
      </w:r>
      <w:r>
        <w:rPr>
          <w:rFonts w:ascii="宋体" w:hAnsi="宋体"/>
          <w:color w:val="000000" w:themeColor="text1"/>
          <w:szCs w:val="21"/>
          <w:highlight w:val="none"/>
          <w14:textFill>
            <w14:solidFill>
              <w14:schemeClr w14:val="tx1"/>
            </w14:solidFill>
          </w14:textFill>
        </w:rPr>
        <w:t>%的工程款；</w:t>
      </w:r>
    </w:p>
    <w:p w14:paraId="28801E56">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（3）其他</w:t>
      </w:r>
      <w:r>
        <w:rPr>
          <w:rFonts w:hint="eastAsia" w:ascii="宋体" w:hAnsi="宋体"/>
          <w:color w:val="000000" w:themeColor="text1"/>
          <w:szCs w:val="21"/>
          <w:highlight w:val="none"/>
          <w14:textFill>
            <w14:solidFill>
              <w14:schemeClr w14:val="tx1"/>
            </w14:solidFill>
          </w14:textFill>
        </w:rPr>
        <w:t>方</w:t>
      </w:r>
      <w:r>
        <w:rPr>
          <w:rFonts w:ascii="宋体" w:hAnsi="宋体"/>
          <w:color w:val="000000" w:themeColor="text1"/>
          <w:szCs w:val="21"/>
          <w:highlight w:val="none"/>
          <w14:textFill>
            <w14:solidFill>
              <w14:schemeClr w14:val="tx1"/>
            </w14:solidFill>
          </w14:textFill>
        </w:rPr>
        <w:t>式</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21EBB5A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 xml:space="preserve">15.3.2 质量保证金的扣留 </w:t>
      </w:r>
    </w:p>
    <w:p w14:paraId="49106216">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质量保证金的扣留采取以下第</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种方式：</w:t>
      </w:r>
    </w:p>
    <w:p w14:paraId="13019643">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（1）在支付工程进度款时逐次扣留，在此情形下，质量保证金的计算基数不包括预付款的支付、扣回以及价格调整的金额；</w:t>
      </w:r>
    </w:p>
    <w:p w14:paraId="5F7E1054">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（2）工程竣工结算时一次性扣留质量保证金；</w:t>
      </w:r>
    </w:p>
    <w:p w14:paraId="4CEB383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（3）其他扣留方式</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249CC997">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关于质量保证金的补充约定：</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0B391831">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15.4保修</w:t>
      </w:r>
    </w:p>
    <w:p w14:paraId="59E14559">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15.4.1 保修责任</w:t>
      </w:r>
    </w:p>
    <w:p w14:paraId="01CD4063">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工程保修期为：</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6066EF2E">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15.4.3 修复通知</w:t>
      </w:r>
    </w:p>
    <w:p w14:paraId="672A100A">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承包人收到保修通知并到达工程现场的合理时间：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7271280F">
      <w:pPr>
        <w:pStyle w:val="5"/>
        <w:ind w:firstLine="0" w:firstLineChars="0"/>
        <w:rPr>
          <w:b/>
          <w:color w:val="000000" w:themeColor="text1"/>
          <w:highlight w:val="none"/>
          <w14:textFill>
            <w14:solidFill>
              <w14:schemeClr w14:val="tx1"/>
            </w14:solidFill>
          </w14:textFill>
        </w:rPr>
      </w:pPr>
      <w:bookmarkStart w:id="465" w:name="_Toc22553"/>
      <w:bookmarkStart w:id="466" w:name="_Toc14801"/>
      <w:r>
        <w:rPr>
          <w:rFonts w:hint="eastAsia"/>
          <w:b/>
          <w:color w:val="000000" w:themeColor="text1"/>
          <w:highlight w:val="none"/>
          <w14:textFill>
            <w14:solidFill>
              <w14:schemeClr w14:val="tx1"/>
            </w14:solidFill>
          </w14:textFill>
        </w:rPr>
        <w:t>16. 违约</w:t>
      </w:r>
      <w:bookmarkEnd w:id="462"/>
      <w:bookmarkEnd w:id="465"/>
      <w:bookmarkEnd w:id="466"/>
    </w:p>
    <w:p w14:paraId="0C7F9AA1">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16.1 发包人违约</w:t>
      </w:r>
    </w:p>
    <w:p w14:paraId="4B803F30">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16.1.1发包人违约的情形</w:t>
      </w:r>
    </w:p>
    <w:p w14:paraId="1B96CD6F">
      <w:pPr>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发包人违约的其他情形：</w:t>
      </w:r>
      <w:r>
        <w:rPr>
          <w:rFonts w:ascii="宋体" w:hAnsi="宋体"/>
          <w:color w:val="000000" w:themeColor="text1"/>
          <w:kern w:val="0"/>
          <w:szCs w:val="21"/>
          <w:highlight w:val="none"/>
          <w:u w:val="single"/>
          <w14:textFill>
            <w14:solidFill>
              <w14:schemeClr w14:val="tx1"/>
            </w14:solidFill>
          </w14:textFill>
        </w:rPr>
        <w:t xml:space="preserve">   </w:t>
      </w:r>
      <w:r>
        <w:rPr>
          <w:rFonts w:hint="eastAsia" w:ascii="宋体" w:hAnsi="宋体"/>
          <w:color w:val="000000" w:themeColor="text1"/>
          <w:kern w:val="0"/>
          <w:szCs w:val="21"/>
          <w:highlight w:val="none"/>
          <w:u w:val="single"/>
          <w14:textFill>
            <w14:solidFill>
              <w14:schemeClr w14:val="tx1"/>
            </w14:solidFill>
          </w14:textFill>
        </w:rPr>
        <w:t>/</w:t>
      </w:r>
      <w:r>
        <w:rPr>
          <w:rFonts w:ascii="宋体" w:hAnsi="宋体"/>
          <w:color w:val="000000" w:themeColor="text1"/>
          <w:kern w:val="0"/>
          <w:szCs w:val="21"/>
          <w:highlight w:val="none"/>
          <w:u w:val="single"/>
          <w14:textFill>
            <w14:solidFill>
              <w14:schemeClr w14:val="tx1"/>
            </w14:solidFill>
          </w14:textFill>
        </w:rPr>
        <w:t xml:space="preserve">   </w:t>
      </w:r>
      <w:r>
        <w:rPr>
          <w:rFonts w:ascii="宋体" w:hAnsi="宋体"/>
          <w:color w:val="000000" w:themeColor="text1"/>
          <w:kern w:val="0"/>
          <w:szCs w:val="21"/>
          <w:highlight w:val="none"/>
          <w14:textFill>
            <w14:solidFill>
              <w14:schemeClr w14:val="tx1"/>
            </w14:solidFill>
          </w14:textFill>
        </w:rPr>
        <w:t>。</w:t>
      </w:r>
    </w:p>
    <w:p w14:paraId="48DCBDA7">
      <w:pPr>
        <w:spacing w:line="360" w:lineRule="auto"/>
        <w:ind w:left="1050" w:hanging="1050" w:hangingChars="500"/>
        <w:jc w:val="left"/>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 xml:space="preserve">    16.1.2 发包人违约的责任</w:t>
      </w:r>
    </w:p>
    <w:p w14:paraId="32487965">
      <w:pPr>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发包人违约责任的承担方式和计算方法：</w:t>
      </w:r>
    </w:p>
    <w:p w14:paraId="43193E69">
      <w:pPr>
        <w:spacing w:line="360" w:lineRule="auto"/>
        <w:ind w:firstLine="420" w:firstLineChars="200"/>
        <w:jc w:val="left"/>
        <w:rPr>
          <w:rFonts w:ascii="宋体" w:hAnsi="宋体"/>
          <w:color w:val="000000" w:themeColor="text1"/>
          <w:kern w:val="0"/>
          <w:szCs w:val="21"/>
          <w:highlight w:val="none"/>
          <w:u w:val="singl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（1）因发包人原因未能在计划开工日期前7天内下达开工通知的违约责任：</w:t>
      </w:r>
      <w:r>
        <w:rPr>
          <w:rFonts w:ascii="宋体" w:hAnsi="宋体"/>
          <w:color w:val="000000" w:themeColor="text1"/>
          <w:kern w:val="0"/>
          <w:szCs w:val="21"/>
          <w:highlight w:val="none"/>
          <w:u w:val="single"/>
          <w14:textFill>
            <w14:solidFill>
              <w14:schemeClr w14:val="tx1"/>
            </w14:solidFill>
          </w14:textFill>
        </w:rPr>
        <w:t xml:space="preserve"> </w:t>
      </w:r>
      <w:r>
        <w:rPr>
          <w:rFonts w:hint="eastAsia" w:ascii="宋体" w:hAnsi="宋体"/>
          <w:color w:val="000000" w:themeColor="text1"/>
          <w:kern w:val="0"/>
          <w:szCs w:val="21"/>
          <w:highlight w:val="none"/>
          <w:u w:val="single"/>
          <w14:textFill>
            <w14:solidFill>
              <w14:schemeClr w14:val="tx1"/>
            </w14:solidFill>
          </w14:textFill>
        </w:rPr>
        <w:t>工期顺延</w:t>
      </w:r>
      <w:r>
        <w:rPr>
          <w:rFonts w:ascii="宋体" w:hAnsi="宋体"/>
          <w:color w:val="000000" w:themeColor="text1"/>
          <w:kern w:val="0"/>
          <w:szCs w:val="21"/>
          <w:highlight w:val="none"/>
          <w:u w:val="single"/>
          <w14:textFill>
            <w14:solidFill>
              <w14:schemeClr w14:val="tx1"/>
            </w14:solidFill>
          </w14:textFill>
        </w:rPr>
        <w:t xml:space="preserve"> </w:t>
      </w:r>
      <w:r>
        <w:rPr>
          <w:rFonts w:hint="eastAsia" w:ascii="宋体" w:hAnsi="宋体"/>
          <w:color w:val="000000" w:themeColor="text1"/>
          <w:kern w:val="0"/>
          <w:szCs w:val="21"/>
          <w:highlight w:val="none"/>
          <w:u w:val="single"/>
          <w14:textFill>
            <w14:solidFill>
              <w14:schemeClr w14:val="tx1"/>
            </w14:solidFill>
          </w14:textFill>
        </w:rPr>
        <w:t xml:space="preserve"> </w:t>
      </w:r>
      <w:r>
        <w:rPr>
          <w:rFonts w:ascii="宋体" w:hAnsi="宋体"/>
          <w:color w:val="000000" w:themeColor="text1"/>
          <w:kern w:val="0"/>
          <w:szCs w:val="21"/>
          <w:highlight w:val="none"/>
          <w14:textFill>
            <w14:solidFill>
              <w14:schemeClr w14:val="tx1"/>
            </w14:solidFill>
          </w14:textFill>
        </w:rPr>
        <w:t>。</w:t>
      </w:r>
    </w:p>
    <w:p w14:paraId="1D0955AE">
      <w:pPr>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（2）因发包人原因未能按合同约定支付合同价款的违约责任：</w:t>
      </w:r>
      <w:r>
        <w:rPr>
          <w:rFonts w:ascii="宋体" w:hAnsi="宋体"/>
          <w:color w:val="000000" w:themeColor="text1"/>
          <w:kern w:val="0"/>
          <w:szCs w:val="21"/>
          <w:highlight w:val="none"/>
          <w:u w:val="single"/>
          <w14:textFill>
            <w14:solidFill>
              <w14:schemeClr w14:val="tx1"/>
            </w14:solidFill>
          </w14:textFill>
        </w:rPr>
        <w:t xml:space="preserve">  </w:t>
      </w:r>
      <w:r>
        <w:rPr>
          <w:rFonts w:hint="eastAsia" w:ascii="宋体" w:hAnsi="宋体"/>
          <w:color w:val="000000" w:themeColor="text1"/>
          <w:kern w:val="0"/>
          <w:szCs w:val="21"/>
          <w:highlight w:val="none"/>
          <w:u w:val="single"/>
          <w14:textFill>
            <w14:solidFill>
              <w14:schemeClr w14:val="tx1"/>
            </w14:solidFill>
          </w14:textFill>
        </w:rPr>
        <w:t xml:space="preserve">双方另行协商 </w:t>
      </w:r>
      <w:r>
        <w:rPr>
          <w:rFonts w:ascii="宋体" w:hAnsi="宋体"/>
          <w:color w:val="000000" w:themeColor="text1"/>
          <w:kern w:val="0"/>
          <w:szCs w:val="21"/>
          <w:highlight w:val="none"/>
          <w14:textFill>
            <w14:solidFill>
              <w14:schemeClr w14:val="tx1"/>
            </w14:solidFill>
          </w14:textFill>
        </w:rPr>
        <w:t>。</w:t>
      </w:r>
    </w:p>
    <w:p w14:paraId="1AA2EBD9">
      <w:pPr>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（3）发包人违反第10.1款</w:t>
      </w:r>
      <w:r>
        <w:rPr>
          <w:rFonts w:hint="eastAsia" w:ascii="宋体" w:hAnsi="宋体"/>
          <w:color w:val="000000" w:themeColor="text1"/>
          <w:kern w:val="0"/>
          <w:szCs w:val="21"/>
          <w:highlight w:val="none"/>
          <w14:textFill>
            <w14:solidFill>
              <w14:schemeClr w14:val="tx1"/>
            </w14:solidFill>
          </w14:textFill>
        </w:rPr>
        <w:t>〔</w:t>
      </w:r>
      <w:r>
        <w:rPr>
          <w:rFonts w:ascii="宋体" w:hAnsi="宋体"/>
          <w:color w:val="000000" w:themeColor="text1"/>
          <w:kern w:val="0"/>
          <w:szCs w:val="21"/>
          <w:highlight w:val="none"/>
          <w14:textFill>
            <w14:solidFill>
              <w14:schemeClr w14:val="tx1"/>
            </w14:solidFill>
          </w14:textFill>
        </w:rPr>
        <w:t>变更的范围</w:t>
      </w:r>
      <w:r>
        <w:rPr>
          <w:rFonts w:hint="eastAsia" w:ascii="宋体" w:hAnsi="宋体"/>
          <w:color w:val="000000" w:themeColor="text1"/>
          <w:kern w:val="0"/>
          <w:szCs w:val="21"/>
          <w:highlight w:val="none"/>
          <w14:textFill>
            <w14:solidFill>
              <w14:schemeClr w14:val="tx1"/>
            </w14:solidFill>
          </w14:textFill>
        </w:rPr>
        <w:t>〕</w:t>
      </w:r>
      <w:r>
        <w:rPr>
          <w:rFonts w:ascii="宋体" w:hAnsi="宋体"/>
          <w:color w:val="000000" w:themeColor="text1"/>
          <w:kern w:val="0"/>
          <w:szCs w:val="21"/>
          <w:highlight w:val="none"/>
          <w14:textFill>
            <w14:solidFill>
              <w14:schemeClr w14:val="tx1"/>
            </w14:solidFill>
          </w14:textFill>
        </w:rPr>
        <w:t>第（2）项约定，自行实施被取消的工作或转由他人实施的违约责任：</w:t>
      </w:r>
      <w:r>
        <w:rPr>
          <w:rFonts w:hint="eastAsia" w:ascii="宋体" w:hAnsi="宋体"/>
          <w:color w:val="000000" w:themeColor="text1"/>
          <w:kern w:val="0"/>
          <w:szCs w:val="21"/>
          <w:highlight w:val="none"/>
          <w:u w:val="single"/>
          <w14:textFill>
            <w14:solidFill>
              <w14:schemeClr w14:val="tx1"/>
            </w14:solidFill>
          </w14:textFill>
        </w:rPr>
        <w:t>双方另行协商</w:t>
      </w:r>
      <w:r>
        <w:rPr>
          <w:rFonts w:ascii="宋体" w:hAnsi="宋体"/>
          <w:color w:val="000000" w:themeColor="text1"/>
          <w:kern w:val="0"/>
          <w:szCs w:val="21"/>
          <w:highlight w:val="none"/>
          <w:u w:val="single"/>
          <w14:textFill>
            <w14:solidFill>
              <w14:schemeClr w14:val="tx1"/>
            </w14:solidFill>
          </w14:textFill>
        </w:rPr>
        <w:t xml:space="preserve"> </w:t>
      </w:r>
      <w:r>
        <w:rPr>
          <w:rFonts w:ascii="宋体" w:hAnsi="宋体"/>
          <w:color w:val="000000" w:themeColor="text1"/>
          <w:kern w:val="0"/>
          <w:szCs w:val="21"/>
          <w:highlight w:val="none"/>
          <w14:textFill>
            <w14:solidFill>
              <w14:schemeClr w14:val="tx1"/>
            </w14:solidFill>
          </w14:textFill>
        </w:rPr>
        <w:t>。</w:t>
      </w:r>
    </w:p>
    <w:p w14:paraId="26099150">
      <w:pPr>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w:t>
      </w:r>
      <w:r>
        <w:rPr>
          <w:rFonts w:hint="eastAsia" w:ascii="宋体" w:hAnsi="宋体"/>
          <w:color w:val="000000" w:themeColor="text1"/>
          <w:kern w:val="0"/>
          <w:szCs w:val="21"/>
          <w:highlight w:val="none"/>
          <w14:textFill>
            <w14:solidFill>
              <w14:schemeClr w14:val="tx1"/>
            </w14:solidFill>
          </w14:textFill>
        </w:rPr>
        <w:t>4</w:t>
      </w:r>
      <w:r>
        <w:rPr>
          <w:rFonts w:ascii="宋体" w:hAnsi="宋体"/>
          <w:color w:val="000000" w:themeColor="text1"/>
          <w:kern w:val="0"/>
          <w:szCs w:val="21"/>
          <w:highlight w:val="none"/>
          <w14:textFill>
            <w14:solidFill>
              <w14:schemeClr w14:val="tx1"/>
            </w14:solidFill>
          </w14:textFill>
        </w:rPr>
        <w:t>）因发包人违反合同约定造成暂停施工的违约责任：</w:t>
      </w:r>
      <w:r>
        <w:rPr>
          <w:rFonts w:hint="eastAsia" w:ascii="宋体" w:hAnsi="宋体"/>
          <w:color w:val="000000" w:themeColor="text1"/>
          <w:kern w:val="0"/>
          <w:szCs w:val="21"/>
          <w:highlight w:val="none"/>
          <w:u w:val="single"/>
          <w14:textFill>
            <w14:solidFill>
              <w14:schemeClr w14:val="tx1"/>
            </w14:solidFill>
          </w14:textFill>
        </w:rPr>
        <w:t>若影响工期的，工期予以顺延</w:t>
      </w:r>
      <w:r>
        <w:rPr>
          <w:rFonts w:ascii="宋体" w:hAnsi="宋体"/>
          <w:color w:val="000000" w:themeColor="text1"/>
          <w:kern w:val="0"/>
          <w:szCs w:val="21"/>
          <w:highlight w:val="none"/>
          <w14:textFill>
            <w14:solidFill>
              <w14:schemeClr w14:val="tx1"/>
            </w14:solidFill>
          </w14:textFill>
        </w:rPr>
        <w:t>。</w:t>
      </w:r>
    </w:p>
    <w:p w14:paraId="3E434BE3">
      <w:pPr>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w:t>
      </w:r>
      <w:r>
        <w:rPr>
          <w:rFonts w:hint="eastAsia" w:ascii="宋体" w:hAnsi="宋体"/>
          <w:color w:val="000000" w:themeColor="text1"/>
          <w:kern w:val="0"/>
          <w:szCs w:val="21"/>
          <w:highlight w:val="none"/>
          <w14:textFill>
            <w14:solidFill>
              <w14:schemeClr w14:val="tx1"/>
            </w14:solidFill>
          </w14:textFill>
        </w:rPr>
        <w:t>5</w:t>
      </w:r>
      <w:r>
        <w:rPr>
          <w:rFonts w:ascii="宋体" w:hAnsi="宋体"/>
          <w:color w:val="000000" w:themeColor="text1"/>
          <w:kern w:val="0"/>
          <w:szCs w:val="21"/>
          <w:highlight w:val="none"/>
          <w14:textFill>
            <w14:solidFill>
              <w14:schemeClr w14:val="tx1"/>
            </w14:solidFill>
          </w14:textFill>
        </w:rPr>
        <w:t>）发包人无正当理由没有在约定期限内发出复工指示，导致承包人无法复工的违约责任：</w:t>
      </w:r>
      <w:r>
        <w:rPr>
          <w:rFonts w:hint="eastAsia" w:ascii="宋体" w:hAnsi="宋体"/>
          <w:color w:val="000000" w:themeColor="text1"/>
          <w:kern w:val="0"/>
          <w:szCs w:val="21"/>
          <w:highlight w:val="none"/>
          <w:u w:val="single"/>
          <w14:textFill>
            <w14:solidFill>
              <w14:schemeClr w14:val="tx1"/>
            </w14:solidFill>
          </w14:textFill>
        </w:rPr>
        <w:t>若影响工期的，工期予以顺延</w:t>
      </w:r>
      <w:r>
        <w:rPr>
          <w:rFonts w:ascii="宋体" w:hAnsi="宋体"/>
          <w:color w:val="000000" w:themeColor="text1"/>
          <w:kern w:val="0"/>
          <w:szCs w:val="21"/>
          <w:highlight w:val="none"/>
          <w14:textFill>
            <w14:solidFill>
              <w14:schemeClr w14:val="tx1"/>
            </w14:solidFill>
          </w14:textFill>
        </w:rPr>
        <w:t>。</w:t>
      </w:r>
    </w:p>
    <w:p w14:paraId="49A23766">
      <w:pPr>
        <w:spacing w:line="360" w:lineRule="auto"/>
        <w:ind w:firstLine="420" w:firstLineChars="200"/>
        <w:jc w:val="left"/>
        <w:rPr>
          <w:rFonts w:ascii="宋体" w:hAnsi="宋体"/>
          <w:color w:val="000000" w:themeColor="text1"/>
          <w:kern w:val="0"/>
          <w:szCs w:val="21"/>
          <w:highlight w:val="none"/>
          <w:lang w:val="zh-CN"/>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（6）</w:t>
      </w:r>
      <w:r>
        <w:rPr>
          <w:rFonts w:hint="eastAsia" w:ascii="宋体" w:hAnsi="宋体"/>
          <w:color w:val="000000" w:themeColor="text1"/>
          <w:kern w:val="0"/>
          <w:szCs w:val="21"/>
          <w:highlight w:val="none"/>
          <w:lang w:val="zh-CN"/>
          <w14:textFill>
            <w14:solidFill>
              <w14:schemeClr w14:val="tx1"/>
            </w14:solidFill>
          </w14:textFill>
        </w:rPr>
        <w:t>发包人不履行合同义务或不按合同约定履行义务的其他情况。</w:t>
      </w:r>
    </w:p>
    <w:p w14:paraId="0430759D">
      <w:pPr>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lang w:val="zh-CN"/>
          <w14:textFill>
            <w14:solidFill>
              <w14:schemeClr w14:val="tx1"/>
            </w14:solidFill>
          </w14:textFill>
        </w:rPr>
        <w:t>发包人承担违约责任，赔偿因其违约给承包人造成的经济损失，顺延延误的工期。双方在专用条款内约定发包人赔偿承包人损失的计算方法或者发包人应当支付违约金的数额和计算方法。</w:t>
      </w:r>
    </w:p>
    <w:p w14:paraId="0C0DE8AA">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16.1.3 因发包人违约解除合同</w:t>
      </w:r>
    </w:p>
    <w:p w14:paraId="14D9976F">
      <w:pPr>
        <w:autoSpaceDE w:val="0"/>
        <w:autoSpaceDN w:val="0"/>
        <w:adjustRightInd w:val="0"/>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承包人按16.1.1项</w:t>
      </w:r>
      <w:r>
        <w:rPr>
          <w:rFonts w:hint="eastAsia" w:ascii="宋体" w:hAnsi="宋体"/>
          <w:color w:val="000000" w:themeColor="text1"/>
          <w:kern w:val="0"/>
          <w:szCs w:val="21"/>
          <w:highlight w:val="none"/>
          <w14:textFill>
            <w14:solidFill>
              <w14:schemeClr w14:val="tx1"/>
            </w14:solidFill>
          </w14:textFill>
        </w:rPr>
        <w:t>〔</w:t>
      </w:r>
      <w:r>
        <w:rPr>
          <w:rFonts w:ascii="宋体" w:hAnsi="宋体"/>
          <w:color w:val="000000" w:themeColor="text1"/>
          <w:kern w:val="0"/>
          <w:szCs w:val="21"/>
          <w:highlight w:val="none"/>
          <w14:textFill>
            <w14:solidFill>
              <w14:schemeClr w14:val="tx1"/>
            </w14:solidFill>
          </w14:textFill>
        </w:rPr>
        <w:t>发包人违约的情形</w:t>
      </w:r>
      <w:r>
        <w:rPr>
          <w:rFonts w:hint="eastAsia" w:ascii="宋体" w:hAnsi="宋体"/>
          <w:color w:val="000000" w:themeColor="text1"/>
          <w:kern w:val="0"/>
          <w:szCs w:val="21"/>
          <w:highlight w:val="none"/>
          <w14:textFill>
            <w14:solidFill>
              <w14:schemeClr w14:val="tx1"/>
            </w14:solidFill>
          </w14:textFill>
        </w:rPr>
        <w:t>〕</w:t>
      </w:r>
      <w:r>
        <w:rPr>
          <w:rFonts w:ascii="宋体" w:hAnsi="宋体"/>
          <w:color w:val="000000" w:themeColor="text1"/>
          <w:kern w:val="0"/>
          <w:szCs w:val="21"/>
          <w:highlight w:val="none"/>
          <w14:textFill>
            <w14:solidFill>
              <w14:schemeClr w14:val="tx1"/>
            </w14:solidFill>
          </w14:textFill>
        </w:rPr>
        <w:t>约定暂停施工满</w:t>
      </w:r>
      <w:r>
        <w:rPr>
          <w:rFonts w:ascii="宋体" w:hAnsi="宋体"/>
          <w:color w:val="000000" w:themeColor="text1"/>
          <w:kern w:val="0"/>
          <w:szCs w:val="21"/>
          <w:highlight w:val="none"/>
          <w:u w:val="single"/>
          <w14:textFill>
            <w14:solidFill>
              <w14:schemeClr w14:val="tx1"/>
            </w14:solidFill>
          </w14:textFill>
        </w:rPr>
        <w:t xml:space="preserve"> </w:t>
      </w:r>
      <w:r>
        <w:rPr>
          <w:rFonts w:hint="eastAsia" w:ascii="宋体" w:hAnsi="宋体"/>
          <w:color w:val="000000" w:themeColor="text1"/>
          <w:kern w:val="0"/>
          <w:szCs w:val="21"/>
          <w:highlight w:val="none"/>
          <w:u w:val="single"/>
          <w14:textFill>
            <w14:solidFill>
              <w14:schemeClr w14:val="tx1"/>
            </w14:solidFill>
          </w14:textFill>
        </w:rPr>
        <w:t xml:space="preserve">  </w:t>
      </w:r>
      <w:r>
        <w:rPr>
          <w:rFonts w:ascii="宋体" w:hAnsi="宋体"/>
          <w:color w:val="000000" w:themeColor="text1"/>
          <w:kern w:val="0"/>
          <w:szCs w:val="21"/>
          <w:highlight w:val="none"/>
          <w:u w:val="single"/>
          <w14:textFill>
            <w14:solidFill>
              <w14:schemeClr w14:val="tx1"/>
            </w14:solidFill>
          </w14:textFill>
        </w:rPr>
        <w:t xml:space="preserve"> </w:t>
      </w:r>
      <w:r>
        <w:rPr>
          <w:rFonts w:ascii="宋体" w:hAnsi="宋体"/>
          <w:color w:val="000000" w:themeColor="text1"/>
          <w:kern w:val="0"/>
          <w:szCs w:val="21"/>
          <w:highlight w:val="none"/>
          <w14:textFill>
            <w14:solidFill>
              <w14:schemeClr w14:val="tx1"/>
            </w14:solidFill>
          </w14:textFill>
        </w:rPr>
        <w:t>天后发包人仍不纠正其违约行为并致使合同目的不能实现的，承包人有权解除合同。</w:t>
      </w:r>
    </w:p>
    <w:p w14:paraId="0A39C01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16.2 承包人违约</w:t>
      </w:r>
    </w:p>
    <w:p w14:paraId="5DCA2086">
      <w:pPr>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16.2.1 承包人违约的情形</w:t>
      </w:r>
    </w:p>
    <w:p w14:paraId="5868EBCB">
      <w:pPr>
        <w:spacing w:line="360" w:lineRule="auto"/>
        <w:ind w:firstLine="420" w:firstLineChars="200"/>
        <w:jc w:val="left"/>
        <w:rPr>
          <w:rFonts w:ascii="宋体" w:hAnsi="宋体"/>
          <w:color w:val="000000" w:themeColor="text1"/>
          <w:kern w:val="0"/>
          <w:szCs w:val="21"/>
          <w:highlight w:val="none"/>
          <w:u w:val="singl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承包人违约的其他情形：</w:t>
      </w:r>
      <w:r>
        <w:rPr>
          <w:rFonts w:ascii="宋体" w:hAnsi="宋体"/>
          <w:color w:val="000000" w:themeColor="text1"/>
          <w:kern w:val="0"/>
          <w:szCs w:val="21"/>
          <w:highlight w:val="none"/>
          <w:u w:val="single"/>
          <w14:textFill>
            <w14:solidFill>
              <w14:schemeClr w14:val="tx1"/>
            </w14:solidFill>
          </w14:textFill>
        </w:rPr>
        <w:t xml:space="preserve"> </w:t>
      </w:r>
      <w:r>
        <w:rPr>
          <w:rFonts w:hint="eastAsia" w:ascii="宋体" w:hAnsi="宋体"/>
          <w:color w:val="000000" w:themeColor="text1"/>
          <w:kern w:val="0"/>
          <w:szCs w:val="21"/>
          <w:highlight w:val="none"/>
          <w:u w:val="single"/>
          <w14:textFill>
            <w14:solidFill>
              <w14:schemeClr w14:val="tx1"/>
            </w14:solidFill>
          </w14:textFill>
        </w:rPr>
        <w:t>1）擅自更换项目经理的；2）未经发包人许可，擅自采购材料设备表以外设备及材料的或未经准用批准使用的</w:t>
      </w:r>
      <w:r>
        <w:rPr>
          <w:rFonts w:hint="eastAsia" w:ascii="宋体" w:hAnsi="宋体"/>
          <w:color w:val="000000" w:themeColor="text1"/>
          <w:kern w:val="0"/>
          <w:szCs w:val="21"/>
          <w:highlight w:val="none"/>
          <w14:textFill>
            <w14:solidFill>
              <w14:schemeClr w14:val="tx1"/>
            </w14:solidFill>
          </w14:textFill>
        </w:rPr>
        <w:t>。</w:t>
      </w:r>
    </w:p>
    <w:p w14:paraId="308456EE">
      <w:pPr>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16.2.2承包人违约的责任</w:t>
      </w:r>
    </w:p>
    <w:p w14:paraId="21ECCEA0">
      <w:pPr>
        <w:spacing w:line="360" w:lineRule="auto"/>
        <w:ind w:firstLine="420" w:firstLineChars="200"/>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承包人违约责任的承担方式和计算方法：</w:t>
      </w:r>
      <w:r>
        <w:rPr>
          <w:rFonts w:hint="eastAsia" w:ascii="宋体" w:hAnsi="宋体"/>
          <w:color w:val="000000" w:themeColor="text1"/>
          <w:kern w:val="0"/>
          <w:szCs w:val="21"/>
          <w:highlight w:val="none"/>
          <w14:textFill>
            <w14:solidFill>
              <w14:schemeClr w14:val="tx1"/>
            </w14:solidFill>
          </w14:textFill>
        </w:rPr>
        <w:t>（1）</w:t>
      </w:r>
      <w:r>
        <w:rPr>
          <w:rFonts w:hint="eastAsia" w:ascii="宋体" w:hAnsi="宋体"/>
          <w:color w:val="000000" w:themeColor="text1"/>
          <w:szCs w:val="21"/>
          <w:highlight w:val="none"/>
          <w:u w:val="single"/>
          <w14:textFill>
            <w14:solidFill>
              <w14:schemeClr w14:val="tx1"/>
            </w14:solidFill>
          </w14:textFill>
        </w:rPr>
        <w:t>建设过程中分部分项工程质量若达不到合格标准，承包人应按要求整改至合格（整改费用承包人自行承担），并承担1000-</w:t>
      </w:r>
      <w:r>
        <w:rPr>
          <w:rFonts w:ascii="宋体" w:hAnsi="宋体"/>
          <w:color w:val="000000" w:themeColor="text1"/>
          <w:szCs w:val="21"/>
          <w:highlight w:val="none"/>
          <w:u w:val="single"/>
          <w14:textFill>
            <w14:solidFill>
              <w14:schemeClr w14:val="tx1"/>
            </w14:solidFill>
          </w14:textFill>
        </w:rPr>
        <w:t>3</w:t>
      </w:r>
      <w:r>
        <w:rPr>
          <w:rFonts w:hint="eastAsia" w:ascii="宋体" w:hAnsi="宋体"/>
          <w:color w:val="000000" w:themeColor="text1"/>
          <w:szCs w:val="21"/>
          <w:highlight w:val="none"/>
          <w:u w:val="single"/>
          <w14:textFill>
            <w14:solidFill>
              <w14:schemeClr w14:val="tx1"/>
            </w14:solidFill>
          </w14:textFill>
        </w:rPr>
        <w:t>000元/次的违约金。</w:t>
      </w:r>
    </w:p>
    <w:p w14:paraId="322A0DE0">
      <w:pPr>
        <w:spacing w:line="360" w:lineRule="auto"/>
        <w:ind w:firstLine="420" w:firstLineChars="200"/>
        <w:rPr>
          <w:rFonts w:ascii="宋体" w:hAnsi="宋体"/>
          <w:color w:val="000000" w:themeColor="text1"/>
          <w:kern w:val="0"/>
          <w:szCs w:val="21"/>
          <w:highlight w:val="none"/>
          <w:u w:val="singl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w:t>
      </w:r>
      <w:r>
        <w:rPr>
          <w:rFonts w:hint="eastAsia" w:ascii="宋体" w:hAnsi="宋体"/>
          <w:color w:val="000000" w:themeColor="text1"/>
          <w:kern w:val="0"/>
          <w:szCs w:val="21"/>
          <w:highlight w:val="none"/>
          <w:u w:val="single"/>
          <w14:textFill>
            <w14:solidFill>
              <w14:schemeClr w14:val="tx1"/>
            </w14:solidFill>
          </w14:textFill>
        </w:rPr>
        <w:t>确保现场劳务人员基本权益，保证劳务工资按月发放，若发生讨薪投诉事件，承包人承担</w:t>
      </w:r>
      <w:r>
        <w:rPr>
          <w:rFonts w:ascii="宋体" w:hAnsi="宋体"/>
          <w:color w:val="000000" w:themeColor="text1"/>
          <w:kern w:val="0"/>
          <w:szCs w:val="21"/>
          <w:highlight w:val="none"/>
          <w:u w:val="single"/>
          <w14:textFill>
            <w14:solidFill>
              <w14:schemeClr w14:val="tx1"/>
            </w14:solidFill>
          </w14:textFill>
        </w:rPr>
        <w:t>5</w:t>
      </w:r>
      <w:r>
        <w:rPr>
          <w:rFonts w:hint="eastAsia" w:ascii="宋体" w:hAnsi="宋体"/>
          <w:color w:val="000000" w:themeColor="text1"/>
          <w:kern w:val="0"/>
          <w:szCs w:val="21"/>
          <w:highlight w:val="none"/>
          <w:u w:val="single"/>
          <w14:textFill>
            <w14:solidFill>
              <w14:schemeClr w14:val="tx1"/>
            </w14:solidFill>
          </w14:textFill>
        </w:rPr>
        <w:t>000元/次的违约金。</w:t>
      </w:r>
    </w:p>
    <w:p w14:paraId="7F0BD2F6">
      <w:pPr>
        <w:spacing w:line="360" w:lineRule="auto"/>
        <w:ind w:firstLine="420" w:firstLineChars="200"/>
        <w:rPr>
          <w:rFonts w:ascii="宋体" w:hAnsi="宋体"/>
          <w:color w:val="000000" w:themeColor="text1"/>
          <w:kern w:val="0"/>
          <w:szCs w:val="21"/>
          <w:highlight w:val="none"/>
          <w:u w:val="single"/>
          <w14:textFill>
            <w14:solidFill>
              <w14:schemeClr w14:val="tx1"/>
            </w14:solidFill>
          </w14:textFill>
        </w:rPr>
      </w:pPr>
      <w:r>
        <w:rPr>
          <w:rFonts w:hint="eastAsia" w:ascii="宋体" w:hAnsi="宋体"/>
          <w:color w:val="000000" w:themeColor="text1"/>
          <w:kern w:val="0"/>
          <w:szCs w:val="21"/>
          <w:highlight w:val="none"/>
          <w:u w:val="single"/>
          <w14:textFill>
            <w14:solidFill>
              <w14:schemeClr w14:val="tx1"/>
            </w14:solidFill>
          </w14:textFill>
        </w:rPr>
        <w:t>（3）工程建设过程中，承包人没有按照发包人要求进度实施工程建设的，发包人有权对承包人收取1000-</w:t>
      </w:r>
      <w:r>
        <w:rPr>
          <w:rFonts w:ascii="宋体" w:hAnsi="宋体"/>
          <w:color w:val="000000" w:themeColor="text1"/>
          <w:kern w:val="0"/>
          <w:szCs w:val="21"/>
          <w:highlight w:val="none"/>
          <w:u w:val="single"/>
          <w14:textFill>
            <w14:solidFill>
              <w14:schemeClr w14:val="tx1"/>
            </w14:solidFill>
          </w14:textFill>
        </w:rPr>
        <w:t>3</w:t>
      </w:r>
      <w:r>
        <w:rPr>
          <w:rFonts w:hint="eastAsia" w:ascii="宋体" w:hAnsi="宋体"/>
          <w:color w:val="000000" w:themeColor="text1"/>
          <w:kern w:val="0"/>
          <w:szCs w:val="21"/>
          <w:highlight w:val="none"/>
          <w:u w:val="single"/>
          <w14:textFill>
            <w14:solidFill>
              <w14:schemeClr w14:val="tx1"/>
            </w14:solidFill>
          </w14:textFill>
        </w:rPr>
        <w:t>000元/天的违约金。</w:t>
      </w:r>
    </w:p>
    <w:p w14:paraId="26D8DCE0">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kern w:val="0"/>
          <w:szCs w:val="21"/>
          <w:highlight w:val="none"/>
          <w:u w:val="single"/>
          <w14:textFill>
            <w14:solidFill>
              <w14:schemeClr w14:val="tx1"/>
            </w14:solidFill>
          </w14:textFill>
        </w:rPr>
        <w:t>（4）以上违约金应在承包人当期进度款中扣除。</w:t>
      </w:r>
      <w:r>
        <w:rPr>
          <w:rFonts w:ascii="宋体" w:hAnsi="宋体"/>
          <w:color w:val="000000" w:themeColor="text1"/>
          <w:szCs w:val="21"/>
          <w:highlight w:val="none"/>
          <w14:textFill>
            <w14:solidFill>
              <w14:schemeClr w14:val="tx1"/>
            </w14:solidFill>
          </w14:textFill>
        </w:rPr>
        <w:t xml:space="preserve">    </w:t>
      </w:r>
    </w:p>
    <w:p w14:paraId="57A982F3">
      <w:pPr>
        <w:spacing w:line="360" w:lineRule="auto"/>
        <w:ind w:firstLine="420" w:firstLineChars="200"/>
        <w:jc w:val="left"/>
        <w:rPr>
          <w:color w:val="000000" w:themeColor="text1"/>
          <w:szCs w:val="21"/>
          <w:highlight w:val="none"/>
          <w:u w:val="single"/>
          <w14:textFill>
            <w14:solidFill>
              <w14:schemeClr w14:val="tx1"/>
            </w14:solidFill>
          </w14:textFill>
        </w:rPr>
      </w:pPr>
      <w:r>
        <w:rPr>
          <w:rFonts w:hint="eastAsia"/>
          <w:color w:val="000000" w:themeColor="text1"/>
          <w:szCs w:val="21"/>
          <w:highlight w:val="none"/>
          <w:u w:val="single"/>
          <w14:textFill>
            <w14:solidFill>
              <w14:schemeClr w14:val="tx1"/>
            </w14:solidFill>
          </w14:textFill>
        </w:rPr>
        <w:t>（5）本工程要求工程质量达到国家规定的合格标准，竣工验收达不到合格标准的，除按国家规定对承包人予以处罚外，承包方按合同价的</w:t>
      </w:r>
      <w:r>
        <w:rPr>
          <w:color w:val="000000" w:themeColor="text1"/>
          <w:szCs w:val="21"/>
          <w:highlight w:val="none"/>
          <w:u w:val="single"/>
          <w14:textFill>
            <w14:solidFill>
              <w14:schemeClr w14:val="tx1"/>
            </w14:solidFill>
          </w14:textFill>
        </w:rPr>
        <w:t>10</w:t>
      </w:r>
      <w:r>
        <w:rPr>
          <w:rFonts w:hint="eastAsia"/>
          <w:color w:val="000000" w:themeColor="text1"/>
          <w:szCs w:val="21"/>
          <w:highlight w:val="none"/>
          <w:u w:val="single"/>
          <w14:textFill>
            <w14:solidFill>
              <w14:schemeClr w14:val="tx1"/>
            </w14:solidFill>
          </w14:textFill>
        </w:rPr>
        <w:t>%向发包人支付质量违约金并修复至达到验收合格标准。中间验收时如果出现局部或分部或分项质量不合格，承包人除免费立即纠正、修复外，还要按该局部或分部或分项工程的合同价的</w:t>
      </w:r>
      <w:r>
        <w:rPr>
          <w:color w:val="000000" w:themeColor="text1"/>
          <w:szCs w:val="21"/>
          <w:highlight w:val="none"/>
          <w:u w:val="single"/>
          <w14:textFill>
            <w14:solidFill>
              <w14:schemeClr w14:val="tx1"/>
            </w14:solidFill>
          </w14:textFill>
        </w:rPr>
        <w:t>1</w:t>
      </w:r>
      <w:r>
        <w:rPr>
          <w:rFonts w:hint="eastAsia"/>
          <w:color w:val="000000" w:themeColor="text1"/>
          <w:szCs w:val="21"/>
          <w:highlight w:val="none"/>
          <w:u w:val="single"/>
          <w14:textFill>
            <w14:solidFill>
              <w14:schemeClr w14:val="tx1"/>
            </w14:solidFill>
          </w14:textFill>
        </w:rPr>
        <w:t>0%向发包人支付质量违约金。</w:t>
      </w:r>
    </w:p>
    <w:p w14:paraId="77EE56DF">
      <w:pPr>
        <w:spacing w:line="360" w:lineRule="auto"/>
        <w:ind w:firstLine="420" w:firstLineChars="200"/>
        <w:jc w:val="left"/>
        <w:rPr>
          <w:rFonts w:hAnsi="宋体"/>
          <w:color w:val="000000" w:themeColor="text1"/>
          <w:szCs w:val="21"/>
          <w:highlight w:val="none"/>
          <w:lang w:val="zh-CN"/>
          <w14:textFill>
            <w14:solidFill>
              <w14:schemeClr w14:val="tx1"/>
            </w14:solidFill>
          </w14:textFill>
        </w:rPr>
      </w:pPr>
      <w:r>
        <w:rPr>
          <w:rFonts w:hint="eastAsia"/>
          <w:color w:val="000000" w:themeColor="text1"/>
          <w:szCs w:val="21"/>
          <w:highlight w:val="none"/>
          <w14:textFill>
            <w14:solidFill>
              <w14:schemeClr w14:val="tx1"/>
            </w14:solidFill>
          </w14:textFill>
        </w:rPr>
        <w:t>（6）</w:t>
      </w:r>
      <w:r>
        <w:rPr>
          <w:rFonts w:hint="eastAsia" w:hAnsi="宋体"/>
          <w:color w:val="000000" w:themeColor="text1"/>
          <w:szCs w:val="21"/>
          <w:highlight w:val="none"/>
          <w:lang w:val="zh-CN"/>
          <w14:textFill>
            <w14:solidFill>
              <w14:schemeClr w14:val="tx1"/>
            </w14:solidFill>
          </w14:textFill>
        </w:rPr>
        <w:t>因承包人原因不能按照协议书约定的竣工日期或工程师同意顺延的工期竣工；</w:t>
      </w:r>
    </w:p>
    <w:p w14:paraId="3B94A510">
      <w:pPr>
        <w:pStyle w:val="3"/>
        <w:tabs>
          <w:tab w:val="left" w:pos="600"/>
        </w:tabs>
        <w:spacing w:after="0" w:line="360" w:lineRule="auto"/>
        <w:ind w:firstLine="420" w:firstLineChars="200"/>
        <w:rPr>
          <w:rFonts w:hAnsi="宋体"/>
          <w:color w:val="000000" w:themeColor="text1"/>
          <w:szCs w:val="21"/>
          <w:highlight w:val="none"/>
          <w:lang w:val="zh-CN"/>
          <w14:textFill>
            <w14:solidFill>
              <w14:schemeClr w14:val="tx1"/>
            </w14:solidFill>
          </w14:textFill>
        </w:rPr>
      </w:pPr>
      <w:r>
        <w:rPr>
          <w:rFonts w:hint="eastAsia" w:hAnsi="宋体"/>
          <w:color w:val="000000" w:themeColor="text1"/>
          <w:szCs w:val="21"/>
          <w:highlight w:val="none"/>
          <w:lang w:val="zh-CN"/>
          <w14:textFill>
            <w14:solidFill>
              <w14:schemeClr w14:val="tx1"/>
            </w14:solidFill>
          </w14:textFill>
        </w:rPr>
        <w:t>（</w:t>
      </w:r>
      <w:r>
        <w:rPr>
          <w:rFonts w:hint="eastAsia" w:hAnsi="宋体"/>
          <w:color w:val="000000" w:themeColor="text1"/>
          <w:szCs w:val="21"/>
          <w:highlight w:val="none"/>
          <w14:textFill>
            <w14:solidFill>
              <w14:schemeClr w14:val="tx1"/>
            </w14:solidFill>
          </w14:textFill>
        </w:rPr>
        <w:t>7</w:t>
      </w:r>
      <w:r>
        <w:rPr>
          <w:rFonts w:hint="eastAsia" w:hAnsi="宋体"/>
          <w:color w:val="000000" w:themeColor="text1"/>
          <w:szCs w:val="21"/>
          <w:highlight w:val="none"/>
          <w:lang w:val="zh-CN"/>
          <w14:textFill>
            <w14:solidFill>
              <w14:schemeClr w14:val="tx1"/>
            </w14:solidFill>
          </w14:textFill>
        </w:rPr>
        <w:t>）承包人不履行合同义务或不按合同约定履行义务的其他情况。</w:t>
      </w:r>
    </w:p>
    <w:p w14:paraId="0880E67D">
      <w:pPr>
        <w:pStyle w:val="3"/>
        <w:tabs>
          <w:tab w:val="left" w:pos="600"/>
        </w:tabs>
        <w:spacing w:after="0" w:line="360" w:lineRule="auto"/>
        <w:ind w:firstLine="420" w:firstLineChars="200"/>
        <w:rPr>
          <w:rFonts w:hAnsi="宋体"/>
          <w:color w:val="000000" w:themeColor="text1"/>
          <w:szCs w:val="21"/>
          <w:highlight w:val="none"/>
          <w:lang w:val="zh-CN"/>
          <w14:textFill>
            <w14:solidFill>
              <w14:schemeClr w14:val="tx1"/>
            </w14:solidFill>
          </w14:textFill>
        </w:rPr>
      </w:pPr>
      <w:r>
        <w:rPr>
          <w:rFonts w:hint="eastAsia" w:hAnsi="宋体"/>
          <w:color w:val="000000" w:themeColor="text1"/>
          <w:szCs w:val="21"/>
          <w:highlight w:val="none"/>
          <w:lang w:val="zh-CN"/>
          <w14:textFill>
            <w14:solidFill>
              <w14:schemeClr w14:val="tx1"/>
            </w14:solidFill>
          </w14:textFill>
        </w:rPr>
        <w:t>承包人承担违约责任，赔偿因其违约给发包人造成的损失。双方在专用条款内约定承包人赔偿发包人损失的计算方法或者承包人应当支付违约金的数额和计算方法。</w:t>
      </w:r>
    </w:p>
    <w:p w14:paraId="35F4BE28">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16.2.3 因承包人违约解除合同</w:t>
      </w:r>
    </w:p>
    <w:p w14:paraId="3707BADD">
      <w:pPr>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关于承包人违约解除合同的特别约定：</w:t>
      </w:r>
      <w:r>
        <w:rPr>
          <w:rFonts w:hint="eastAsia" w:ascii="宋体" w:hAnsi="宋体"/>
          <w:color w:val="000000" w:themeColor="text1"/>
          <w:szCs w:val="21"/>
          <w:highlight w:val="none"/>
          <w:u w:val="single"/>
          <w14:textFill>
            <w14:solidFill>
              <w14:schemeClr w14:val="tx1"/>
            </w14:solidFill>
          </w14:textFill>
        </w:rPr>
        <w:t>（1）承包人未按双方确认的施工计划组织施工；（2）承包人所施工的分部分项工程经两次验收均不合格；（3）承包人擅自更换本工程项目经理；（4）承包人未按照本合同约定及时移交工程和满足备案要求的完整竣工资料，逾期超过30天；（5）承包人欠付农民工工资、劳务费、材料款等，导致相关人员围堵发包人工地5天或办公经营场所3次或办公经营场所单次一天以上；（6）项目经理不胜任本职工作，发包人和工程师可提前</w:t>
      </w:r>
      <w:r>
        <w:rPr>
          <w:rFonts w:ascii="宋体" w:hAnsi="宋体"/>
          <w:color w:val="000000" w:themeColor="text1"/>
          <w:szCs w:val="21"/>
          <w:highlight w:val="none"/>
          <w:u w:val="single"/>
          <w14:textFill>
            <w14:solidFill>
              <w14:schemeClr w14:val="tx1"/>
            </w14:solidFill>
          </w14:textFill>
        </w:rPr>
        <w:t>7</w:t>
      </w:r>
      <w:r>
        <w:rPr>
          <w:rFonts w:hint="eastAsia" w:ascii="宋体" w:hAnsi="宋体"/>
          <w:color w:val="000000" w:themeColor="text1"/>
          <w:szCs w:val="21"/>
          <w:highlight w:val="none"/>
          <w:u w:val="single"/>
          <w14:textFill>
            <w14:solidFill>
              <w14:schemeClr w14:val="tx1"/>
            </w14:solidFill>
          </w14:textFill>
        </w:rPr>
        <w:t>天以书面形式通知承包人更换合格的项目经理，如更换后的项目经理仍旧不能胜任本职工作，发包人有解除合同的权利；（7）承包人违反本合同约定义务，经发包人催告后在限期内未改正的</w:t>
      </w:r>
      <w:r>
        <w:rPr>
          <w:rFonts w:hint="eastAsia" w:ascii="宋体" w:hAnsi="宋体"/>
          <w:color w:val="000000" w:themeColor="text1"/>
          <w:kern w:val="0"/>
          <w:szCs w:val="21"/>
          <w:highlight w:val="none"/>
          <w:u w:val="single"/>
          <w14:textFill>
            <w14:solidFill>
              <w14:schemeClr w14:val="tx1"/>
            </w14:solidFill>
          </w14:textFill>
        </w:rPr>
        <w:t>。</w:t>
      </w:r>
    </w:p>
    <w:p w14:paraId="26CA1C64">
      <w:pPr>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发包人</w:t>
      </w:r>
      <w:r>
        <w:rPr>
          <w:rFonts w:hint="eastAsia" w:ascii="宋体" w:hAnsi="宋体"/>
          <w:color w:val="000000" w:themeColor="text1"/>
          <w:kern w:val="0"/>
          <w:szCs w:val="21"/>
          <w:highlight w:val="none"/>
          <w14:textFill>
            <w14:solidFill>
              <w14:schemeClr w14:val="tx1"/>
            </w14:solidFill>
          </w14:textFill>
        </w:rPr>
        <w:t>继续</w:t>
      </w:r>
      <w:r>
        <w:rPr>
          <w:rFonts w:ascii="宋体" w:hAnsi="宋体"/>
          <w:color w:val="000000" w:themeColor="text1"/>
          <w:kern w:val="0"/>
          <w:szCs w:val="21"/>
          <w:highlight w:val="none"/>
          <w14:textFill>
            <w14:solidFill>
              <w14:schemeClr w14:val="tx1"/>
            </w14:solidFill>
          </w14:textFill>
        </w:rPr>
        <w:t>使用承包人在施工现场的材料、设备、临时工程、承包人文件和由承包人或以其名义编制的其他文件</w:t>
      </w:r>
      <w:r>
        <w:rPr>
          <w:rFonts w:hint="eastAsia" w:ascii="宋体" w:hAnsi="宋体"/>
          <w:color w:val="000000" w:themeColor="text1"/>
          <w:kern w:val="0"/>
          <w:szCs w:val="21"/>
          <w:highlight w:val="none"/>
          <w14:textFill>
            <w14:solidFill>
              <w14:schemeClr w14:val="tx1"/>
            </w14:solidFill>
          </w14:textFill>
        </w:rPr>
        <w:t>的费用承担方式</w:t>
      </w:r>
      <w:r>
        <w:rPr>
          <w:rFonts w:ascii="宋体" w:hAnsi="宋体"/>
          <w:color w:val="000000" w:themeColor="text1"/>
          <w:kern w:val="0"/>
          <w:szCs w:val="21"/>
          <w:highlight w:val="none"/>
          <w14:textFill>
            <w14:solidFill>
              <w14:schemeClr w14:val="tx1"/>
            </w14:solidFill>
          </w14:textFill>
        </w:rPr>
        <w:t>：</w:t>
      </w:r>
      <w:r>
        <w:rPr>
          <w:rFonts w:hint="eastAsia" w:ascii="宋体" w:hAnsi="宋体"/>
          <w:color w:val="000000" w:themeColor="text1"/>
          <w:kern w:val="0"/>
          <w:szCs w:val="21"/>
          <w:highlight w:val="none"/>
          <w:u w:val="single"/>
          <w14:textFill>
            <w14:solidFill>
              <w14:schemeClr w14:val="tx1"/>
            </w14:solidFill>
          </w14:textFill>
        </w:rPr>
        <w:t>工程材料设备由发包人按照承包人的采购价使用，但不得高于承包人投标报价中的材料单价；施工设备、临时工程、承包人文件和由承包人或以其名义编制的其他</w:t>
      </w:r>
      <w:r>
        <w:rPr>
          <w:rFonts w:hint="eastAsia" w:ascii="宋体" w:hAnsi="宋体"/>
          <w:color w:val="000000" w:themeColor="text1"/>
          <w:kern w:val="0"/>
          <w:szCs w:val="21"/>
          <w:highlight w:val="none"/>
          <w:u w:val="single"/>
          <w:lang w:eastAsia="zh-CN"/>
          <w14:textFill>
            <w14:solidFill>
              <w14:schemeClr w14:val="tx1"/>
            </w14:solidFill>
          </w14:textFill>
        </w:rPr>
        <w:t>文件</w:t>
      </w:r>
      <w:r>
        <w:rPr>
          <w:rFonts w:hint="eastAsia" w:ascii="宋体" w:hAnsi="宋体"/>
          <w:color w:val="000000" w:themeColor="text1"/>
          <w:kern w:val="0"/>
          <w:szCs w:val="21"/>
          <w:highlight w:val="none"/>
          <w:u w:val="single"/>
          <w14:textFill>
            <w14:solidFill>
              <w14:schemeClr w14:val="tx1"/>
            </w14:solidFill>
          </w14:textFill>
        </w:rPr>
        <w:t>由发包人免费使用，由承包人负责维护、拆除及退场并承担费用</w:t>
      </w:r>
      <w:r>
        <w:rPr>
          <w:rFonts w:hint="eastAsia" w:ascii="宋体" w:hAnsi="宋体"/>
          <w:color w:val="000000" w:themeColor="text1"/>
          <w:kern w:val="0"/>
          <w:szCs w:val="21"/>
          <w:highlight w:val="none"/>
          <w14:textFill>
            <w14:solidFill>
              <w14:schemeClr w14:val="tx1"/>
            </w14:solidFill>
          </w14:textFill>
        </w:rPr>
        <w:t>。</w:t>
      </w:r>
    </w:p>
    <w:p w14:paraId="0CB8F024">
      <w:pPr>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16.3 一方违约后，另一方要求违约方继续履行合同时，违约方承担上述违约责任后仍应继续履行合同。</w:t>
      </w:r>
    </w:p>
    <w:p w14:paraId="692FD04F">
      <w:pPr>
        <w:pStyle w:val="5"/>
        <w:ind w:firstLine="0" w:firstLineChars="0"/>
        <w:rPr>
          <w:b/>
          <w:color w:val="000000" w:themeColor="text1"/>
          <w:highlight w:val="none"/>
          <w14:textFill>
            <w14:solidFill>
              <w14:schemeClr w14:val="tx1"/>
            </w14:solidFill>
          </w14:textFill>
        </w:rPr>
      </w:pPr>
      <w:bookmarkStart w:id="467" w:name="_Toc31345"/>
      <w:bookmarkStart w:id="468" w:name="_Toc5388"/>
      <w:bookmarkStart w:id="469" w:name="_Toc351203649"/>
      <w:r>
        <w:rPr>
          <w:rFonts w:hint="eastAsia"/>
          <w:b/>
          <w:color w:val="000000" w:themeColor="text1"/>
          <w:highlight w:val="none"/>
          <w14:textFill>
            <w14:solidFill>
              <w14:schemeClr w14:val="tx1"/>
            </w14:solidFill>
          </w14:textFill>
        </w:rPr>
        <w:t>17. 不可抗力</w:t>
      </w:r>
      <w:bookmarkEnd w:id="467"/>
      <w:bookmarkEnd w:id="468"/>
      <w:bookmarkEnd w:id="469"/>
      <w:r>
        <w:rPr>
          <w:rFonts w:hint="eastAsia"/>
          <w:b/>
          <w:color w:val="000000" w:themeColor="text1"/>
          <w:highlight w:val="none"/>
          <w14:textFill>
            <w14:solidFill>
              <w14:schemeClr w14:val="tx1"/>
            </w14:solidFill>
          </w14:textFill>
        </w:rPr>
        <w:t xml:space="preserve"> </w:t>
      </w:r>
      <w:bookmarkEnd w:id="463"/>
    </w:p>
    <w:p w14:paraId="59DAB147">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17.1 不可抗力的确认</w:t>
      </w:r>
    </w:p>
    <w:p w14:paraId="27DD8220">
      <w:pPr>
        <w:spacing w:line="360" w:lineRule="auto"/>
        <w:ind w:firstLine="420" w:firstLineChars="200"/>
        <w:jc w:val="left"/>
        <w:rPr>
          <w:rFonts w:ascii="宋体" w:hAnsi="宋体"/>
          <w:color w:val="000000" w:themeColor="text1"/>
          <w:kern w:val="0"/>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除通用合同条款约定的不可抗力事件之外，视为不可抗力的其他情形：</w:t>
      </w:r>
      <w:r>
        <w:rPr>
          <w:rFonts w:hint="eastAsia"/>
          <w:color w:val="000000" w:themeColor="text1"/>
          <w:szCs w:val="21"/>
          <w:highlight w:val="none"/>
          <w:u w:val="single"/>
          <w14:textFill>
            <w14:solidFill>
              <w14:schemeClr w14:val="tx1"/>
            </w14:solidFill>
          </w14:textFill>
        </w:rPr>
        <w:t>按通用条款执行。其中正常年份的风、雨、雪、雾天气不属于不可抗力；一个有经验的承包商应当能够估计到的自然气候、环境（制约）变化的影响原则上也不</w:t>
      </w:r>
      <w:r>
        <w:rPr>
          <w:rFonts w:hint="eastAsia"/>
          <w:color w:val="000000" w:themeColor="text1"/>
          <w:szCs w:val="21"/>
          <w:highlight w:val="none"/>
          <w:u w:val="single"/>
          <w:lang w:eastAsia="zh-CN"/>
          <w14:textFill>
            <w14:solidFill>
              <w14:schemeClr w14:val="tx1"/>
            </w14:solidFill>
          </w14:textFill>
        </w:rPr>
        <w:t>作为</w:t>
      </w:r>
      <w:r>
        <w:rPr>
          <w:rFonts w:hint="eastAsia"/>
          <w:color w:val="000000" w:themeColor="text1"/>
          <w:szCs w:val="21"/>
          <w:highlight w:val="none"/>
          <w:u w:val="single"/>
          <w14:textFill>
            <w14:solidFill>
              <w14:schemeClr w14:val="tx1"/>
            </w14:solidFill>
          </w14:textFill>
        </w:rPr>
        <w:t>不可抗力事件对待；高考、中考、运动会以及政府部门发出的有碍于施工的临时性指令均不</w:t>
      </w:r>
      <w:r>
        <w:rPr>
          <w:rFonts w:hint="eastAsia"/>
          <w:color w:val="000000" w:themeColor="text1"/>
          <w:szCs w:val="21"/>
          <w:highlight w:val="none"/>
          <w:u w:val="single"/>
          <w:lang w:eastAsia="zh-CN"/>
          <w14:textFill>
            <w14:solidFill>
              <w14:schemeClr w14:val="tx1"/>
            </w14:solidFill>
          </w14:textFill>
        </w:rPr>
        <w:t>作为</w:t>
      </w:r>
      <w:r>
        <w:rPr>
          <w:rFonts w:hint="eastAsia"/>
          <w:color w:val="000000" w:themeColor="text1"/>
          <w:szCs w:val="21"/>
          <w:highlight w:val="none"/>
          <w:u w:val="single"/>
          <w14:textFill>
            <w14:solidFill>
              <w14:schemeClr w14:val="tx1"/>
            </w14:solidFill>
          </w14:textFill>
        </w:rPr>
        <w:t>不可抗力事件对待。由于发生30年以上一遇的降雨引起的洪水灾害、雪灾造成对工程的影响，经国家有关部门鉴定后可按不可抗力对待；发生破坏性地震的属于不可抗力事件</w:t>
      </w:r>
      <w:r>
        <w:rPr>
          <w:rFonts w:ascii="宋体" w:hAnsi="宋体"/>
          <w:color w:val="000000" w:themeColor="text1"/>
          <w:kern w:val="0"/>
          <w:szCs w:val="21"/>
          <w:highlight w:val="none"/>
          <w14:textFill>
            <w14:solidFill>
              <w14:schemeClr w14:val="tx1"/>
            </w14:solidFill>
          </w14:textFill>
        </w:rPr>
        <w:t>。</w:t>
      </w:r>
    </w:p>
    <w:p w14:paraId="50D2CBCB">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17.4 因不可抗力解除合同</w:t>
      </w:r>
    </w:p>
    <w:p w14:paraId="3D904FC6">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合同解除后，发包人应在商定或确定发包人应支付款项后</w:t>
      </w:r>
      <w:r>
        <w:rPr>
          <w:rFonts w:ascii="宋体" w:hAnsi="宋体"/>
          <w:color w:val="000000" w:themeColor="text1"/>
          <w:szCs w:val="21"/>
          <w:highlight w:val="none"/>
          <w:u w:val="single"/>
          <w14:textFill>
            <w14:solidFill>
              <w14:schemeClr w14:val="tx1"/>
            </w14:solidFill>
          </w14:textFill>
        </w:rPr>
        <w:t xml:space="preserve"> 30 </w:t>
      </w:r>
      <w:r>
        <w:rPr>
          <w:rFonts w:ascii="宋体" w:hAnsi="宋体"/>
          <w:color w:val="000000" w:themeColor="text1"/>
          <w:szCs w:val="21"/>
          <w:highlight w:val="none"/>
          <w14:textFill>
            <w14:solidFill>
              <w14:schemeClr w14:val="tx1"/>
            </w14:solidFill>
          </w14:textFill>
        </w:rPr>
        <w:t>天内完成款项的支付。</w:t>
      </w:r>
    </w:p>
    <w:bookmarkEnd w:id="440"/>
    <w:bookmarkEnd w:id="441"/>
    <w:bookmarkEnd w:id="442"/>
    <w:bookmarkEnd w:id="443"/>
    <w:bookmarkEnd w:id="444"/>
    <w:bookmarkEnd w:id="445"/>
    <w:bookmarkEnd w:id="446"/>
    <w:bookmarkEnd w:id="447"/>
    <w:bookmarkEnd w:id="448"/>
    <w:bookmarkEnd w:id="449"/>
    <w:bookmarkEnd w:id="450"/>
    <w:bookmarkEnd w:id="451"/>
    <w:bookmarkEnd w:id="464"/>
    <w:p w14:paraId="540A75ED">
      <w:pPr>
        <w:pStyle w:val="5"/>
        <w:ind w:firstLine="0" w:firstLineChars="0"/>
        <w:rPr>
          <w:b/>
          <w:color w:val="000000" w:themeColor="text1"/>
          <w:highlight w:val="none"/>
          <w14:textFill>
            <w14:solidFill>
              <w14:schemeClr w14:val="tx1"/>
            </w14:solidFill>
          </w14:textFill>
        </w:rPr>
      </w:pPr>
      <w:bookmarkStart w:id="470" w:name="_Toc23046"/>
      <w:bookmarkStart w:id="471" w:name="_Toc17103"/>
      <w:bookmarkStart w:id="472" w:name="_Toc351203651"/>
      <w:r>
        <w:rPr>
          <w:rFonts w:hint="eastAsia"/>
          <w:b/>
          <w:color w:val="000000" w:themeColor="text1"/>
          <w:highlight w:val="none"/>
          <w14:textFill>
            <w14:solidFill>
              <w14:schemeClr w14:val="tx1"/>
            </w14:solidFill>
          </w14:textFill>
        </w:rPr>
        <w:t>20. 争议解决</w:t>
      </w:r>
      <w:bookmarkEnd w:id="470"/>
      <w:bookmarkEnd w:id="471"/>
      <w:bookmarkEnd w:id="472"/>
    </w:p>
    <w:bookmarkEnd w:id="452"/>
    <w:bookmarkEnd w:id="453"/>
    <w:bookmarkEnd w:id="454"/>
    <w:p w14:paraId="16BA3249">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20.4仲裁或诉讼</w:t>
      </w:r>
      <w:bookmarkEnd w:id="455"/>
    </w:p>
    <w:p w14:paraId="17B6195F">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因合同及合同有关事项发生的争议，按下列第</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1</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种方式</w:t>
      </w:r>
      <w:r>
        <w:rPr>
          <w:rFonts w:hint="eastAsia" w:ascii="宋体" w:hAnsi="宋体"/>
          <w:color w:val="000000" w:themeColor="text1"/>
          <w:szCs w:val="21"/>
          <w:highlight w:val="none"/>
          <w14:textFill>
            <w14:solidFill>
              <w14:schemeClr w14:val="tx1"/>
            </w14:solidFill>
          </w14:textFill>
        </w:rPr>
        <w:t>解</w:t>
      </w:r>
      <w:r>
        <w:rPr>
          <w:rFonts w:ascii="宋体" w:hAnsi="宋体"/>
          <w:color w:val="000000" w:themeColor="text1"/>
          <w:szCs w:val="21"/>
          <w:highlight w:val="none"/>
          <w14:textFill>
            <w14:solidFill>
              <w14:schemeClr w14:val="tx1"/>
            </w14:solidFill>
          </w14:textFill>
        </w:rPr>
        <w:t>决：</w:t>
      </w:r>
    </w:p>
    <w:p w14:paraId="6EDAA399">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（1）向</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西安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仲裁委员会申请仲裁；</w:t>
      </w:r>
    </w:p>
    <w:p w14:paraId="081F5763">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（2）向</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人民法院起诉。</w:t>
      </w:r>
      <w:bookmarkEnd w:id="456"/>
      <w:bookmarkEnd w:id="457"/>
      <w:bookmarkEnd w:id="458"/>
      <w:bookmarkEnd w:id="459"/>
      <w:bookmarkEnd w:id="460"/>
      <w:bookmarkEnd w:id="461"/>
      <w:r>
        <w:rPr>
          <w:color w:val="000000" w:themeColor="text1"/>
          <w:highlight w:val="none"/>
          <w14:textFill>
            <w14:solidFill>
              <w14:schemeClr w14:val="tx1"/>
            </w14:solidFill>
          </w14:textFill>
        </w:rPr>
        <w:br w:type="page"/>
      </w:r>
    </w:p>
    <w:p w14:paraId="5D2AA981">
      <w:pPr>
        <w:spacing w:line="400" w:lineRule="exact"/>
        <w:jc w:val="left"/>
        <w:rPr>
          <w:rFonts w:ascii="宋体" w:hAnsi="宋体"/>
          <w:b/>
          <w:color w:val="000000" w:themeColor="text1"/>
          <w:szCs w:val="21"/>
          <w:highlight w:val="none"/>
          <w14:textFill>
            <w14:solidFill>
              <w14:schemeClr w14:val="tx1"/>
            </w14:solidFill>
          </w14:textFill>
        </w:rPr>
      </w:pPr>
      <w:r>
        <w:rPr>
          <w:rFonts w:ascii="宋体" w:hAnsi="宋体"/>
          <w:b/>
          <w:color w:val="000000" w:themeColor="text1"/>
          <w:sz w:val="24"/>
          <w:highlight w:val="none"/>
          <w14:textFill>
            <w14:solidFill>
              <w14:schemeClr w14:val="tx1"/>
            </w14:solidFill>
          </w14:textFill>
        </w:rPr>
        <w:t>附件</w:t>
      </w:r>
    </w:p>
    <w:p w14:paraId="4518F76E">
      <w:pPr>
        <w:spacing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协议书附件：</w:t>
      </w:r>
    </w:p>
    <w:p w14:paraId="3088A4E6">
      <w:pPr>
        <w:spacing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专用合同条款附件（根据实际自行增减）：</w:t>
      </w:r>
    </w:p>
    <w:p w14:paraId="64A452D6">
      <w:pPr>
        <w:spacing w:line="360" w:lineRule="auto"/>
        <w:jc w:val="left"/>
        <w:rPr>
          <w:rFonts w:ascii="宋体" w:hAnsi="宋体"/>
          <w:color w:val="000000" w:themeColor="text1"/>
          <w:szCs w:val="21"/>
          <w:highlight w:val="none"/>
          <w14:textFill>
            <w14:solidFill>
              <w14:schemeClr w14:val="tx1"/>
            </w14:solidFill>
          </w14:textFill>
        </w:rPr>
      </w:pPr>
      <w:bookmarkStart w:id="473" w:name="_Toc6782_WPSOffice_Level2"/>
      <w:r>
        <w:rPr>
          <w:rFonts w:ascii="宋体" w:hAnsi="宋体"/>
          <w:color w:val="000000" w:themeColor="text1"/>
          <w:szCs w:val="21"/>
          <w:highlight w:val="none"/>
          <w14:textFill>
            <w14:solidFill>
              <w14:schemeClr w14:val="tx1"/>
            </w14:solidFill>
          </w14:textFill>
        </w:rPr>
        <w:t>附件</w:t>
      </w: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：发包人供应材料设备一览表</w:t>
      </w:r>
      <w:bookmarkEnd w:id="473"/>
    </w:p>
    <w:p w14:paraId="08FC4558">
      <w:pPr>
        <w:spacing w:line="360" w:lineRule="auto"/>
        <w:jc w:val="left"/>
        <w:rPr>
          <w:rFonts w:ascii="宋体" w:hAnsi="宋体"/>
          <w:color w:val="000000" w:themeColor="text1"/>
          <w:szCs w:val="21"/>
          <w:highlight w:val="none"/>
          <w14:textFill>
            <w14:solidFill>
              <w14:schemeClr w14:val="tx1"/>
            </w14:solidFill>
          </w14:textFill>
        </w:rPr>
      </w:pPr>
      <w:bookmarkStart w:id="474" w:name="_Toc4615_WPSOffice_Level2"/>
      <w:r>
        <w:rPr>
          <w:rFonts w:ascii="宋体" w:hAnsi="宋体"/>
          <w:color w:val="000000" w:themeColor="text1"/>
          <w:szCs w:val="21"/>
          <w:highlight w:val="none"/>
          <w14:textFill>
            <w14:solidFill>
              <w14:schemeClr w14:val="tx1"/>
            </w14:solidFill>
          </w14:textFill>
        </w:rPr>
        <w:t>附件</w:t>
      </w:r>
      <w:r>
        <w:rPr>
          <w:rFonts w:hint="eastAsia" w:ascii="宋体" w:hAnsi="宋体"/>
          <w:color w:val="000000" w:themeColor="text1"/>
          <w:szCs w:val="21"/>
          <w:highlight w:val="none"/>
          <w14:textFill>
            <w14:solidFill>
              <w14:schemeClr w14:val="tx1"/>
            </w14:solidFill>
          </w14:textFill>
        </w:rPr>
        <w:t>2</w:t>
      </w:r>
      <w:r>
        <w:rPr>
          <w:rFonts w:ascii="宋体" w:hAnsi="宋体"/>
          <w:color w:val="000000" w:themeColor="text1"/>
          <w:szCs w:val="21"/>
          <w:highlight w:val="none"/>
          <w14:textFill>
            <w14:solidFill>
              <w14:schemeClr w14:val="tx1"/>
            </w14:solidFill>
          </w14:textFill>
        </w:rPr>
        <w:t>：工程质量保修书</w:t>
      </w:r>
      <w:bookmarkEnd w:id="474"/>
    </w:p>
    <w:p w14:paraId="66C66AA7">
      <w:pPr>
        <w:spacing w:line="360" w:lineRule="auto"/>
        <w:jc w:val="left"/>
        <w:rPr>
          <w:rFonts w:ascii="宋体" w:hAnsi="宋体"/>
          <w:color w:val="000000" w:themeColor="text1"/>
          <w:szCs w:val="21"/>
          <w:highlight w:val="none"/>
          <w14:textFill>
            <w14:solidFill>
              <w14:schemeClr w14:val="tx1"/>
            </w14:solidFill>
          </w14:textFill>
        </w:rPr>
      </w:pPr>
      <w:bookmarkStart w:id="475" w:name="_Toc24155_WPSOffice_Level2"/>
      <w:r>
        <w:rPr>
          <w:rFonts w:ascii="宋体" w:hAnsi="宋体"/>
          <w:color w:val="000000" w:themeColor="text1"/>
          <w:szCs w:val="21"/>
          <w:highlight w:val="none"/>
          <w14:textFill>
            <w14:solidFill>
              <w14:schemeClr w14:val="tx1"/>
            </w14:solidFill>
          </w14:textFill>
        </w:rPr>
        <w:t>附件</w:t>
      </w:r>
      <w:r>
        <w:rPr>
          <w:rFonts w:hint="eastAsia" w:ascii="宋体" w:hAnsi="宋体"/>
          <w:color w:val="000000" w:themeColor="text1"/>
          <w:szCs w:val="21"/>
          <w:highlight w:val="none"/>
          <w14:textFill>
            <w14:solidFill>
              <w14:schemeClr w14:val="tx1"/>
            </w14:solidFill>
          </w14:textFill>
        </w:rPr>
        <w:t>3</w:t>
      </w:r>
      <w:r>
        <w:rPr>
          <w:rFonts w:ascii="宋体" w:hAnsi="宋体"/>
          <w:color w:val="000000" w:themeColor="text1"/>
          <w:szCs w:val="21"/>
          <w:highlight w:val="none"/>
          <w14:textFill>
            <w14:solidFill>
              <w14:schemeClr w14:val="tx1"/>
            </w14:solidFill>
          </w14:textFill>
        </w:rPr>
        <w:t>：主要建设工程文件目录</w:t>
      </w:r>
      <w:bookmarkEnd w:id="475"/>
    </w:p>
    <w:p w14:paraId="4EECAB42">
      <w:pPr>
        <w:spacing w:line="360" w:lineRule="auto"/>
        <w:jc w:val="left"/>
        <w:rPr>
          <w:rFonts w:ascii="宋体" w:hAnsi="宋体"/>
          <w:color w:val="000000" w:themeColor="text1"/>
          <w:szCs w:val="21"/>
          <w:highlight w:val="none"/>
          <w14:textFill>
            <w14:solidFill>
              <w14:schemeClr w14:val="tx1"/>
            </w14:solidFill>
          </w14:textFill>
        </w:rPr>
      </w:pPr>
      <w:bookmarkStart w:id="476" w:name="_Toc8967_WPSOffice_Level2"/>
      <w:r>
        <w:rPr>
          <w:rFonts w:ascii="宋体" w:hAnsi="宋体"/>
          <w:color w:val="000000" w:themeColor="text1"/>
          <w:szCs w:val="21"/>
          <w:highlight w:val="none"/>
          <w14:textFill>
            <w14:solidFill>
              <w14:schemeClr w14:val="tx1"/>
            </w14:solidFill>
          </w14:textFill>
        </w:rPr>
        <w:t>附件</w:t>
      </w:r>
      <w:r>
        <w:rPr>
          <w:rFonts w:hint="eastAsia" w:ascii="宋体" w:hAnsi="宋体"/>
          <w:color w:val="000000" w:themeColor="text1"/>
          <w:szCs w:val="21"/>
          <w:highlight w:val="none"/>
          <w14:textFill>
            <w14:solidFill>
              <w14:schemeClr w14:val="tx1"/>
            </w14:solidFill>
          </w14:textFill>
        </w:rPr>
        <w:t>4</w:t>
      </w:r>
      <w:r>
        <w:rPr>
          <w:rFonts w:ascii="宋体" w:hAnsi="宋体"/>
          <w:color w:val="000000" w:themeColor="text1"/>
          <w:szCs w:val="21"/>
          <w:highlight w:val="none"/>
          <w14:textFill>
            <w14:solidFill>
              <w14:schemeClr w14:val="tx1"/>
            </w14:solidFill>
          </w14:textFill>
        </w:rPr>
        <w:t>：承包人用于本工程施工的机械设备表</w:t>
      </w:r>
      <w:bookmarkEnd w:id="476"/>
    </w:p>
    <w:p w14:paraId="4153B13C">
      <w:pPr>
        <w:spacing w:line="360" w:lineRule="auto"/>
        <w:jc w:val="left"/>
        <w:rPr>
          <w:rFonts w:ascii="宋体" w:hAnsi="宋体"/>
          <w:color w:val="000000" w:themeColor="text1"/>
          <w:szCs w:val="21"/>
          <w:highlight w:val="none"/>
          <w14:textFill>
            <w14:solidFill>
              <w14:schemeClr w14:val="tx1"/>
            </w14:solidFill>
          </w14:textFill>
        </w:rPr>
      </w:pPr>
      <w:bookmarkStart w:id="477" w:name="_Toc20672_WPSOffice_Level2"/>
      <w:r>
        <w:rPr>
          <w:rFonts w:ascii="宋体" w:hAnsi="宋体"/>
          <w:color w:val="000000" w:themeColor="text1"/>
          <w:szCs w:val="21"/>
          <w:highlight w:val="none"/>
          <w14:textFill>
            <w14:solidFill>
              <w14:schemeClr w14:val="tx1"/>
            </w14:solidFill>
          </w14:textFill>
        </w:rPr>
        <w:t>附件</w:t>
      </w:r>
      <w:r>
        <w:rPr>
          <w:rFonts w:hint="eastAsia" w:ascii="宋体" w:hAnsi="宋体"/>
          <w:color w:val="000000" w:themeColor="text1"/>
          <w:szCs w:val="21"/>
          <w:highlight w:val="none"/>
          <w14:textFill>
            <w14:solidFill>
              <w14:schemeClr w14:val="tx1"/>
            </w14:solidFill>
          </w14:textFill>
        </w:rPr>
        <w:t>5</w:t>
      </w:r>
      <w:r>
        <w:rPr>
          <w:rFonts w:ascii="宋体" w:hAnsi="宋体"/>
          <w:color w:val="000000" w:themeColor="text1"/>
          <w:szCs w:val="21"/>
          <w:highlight w:val="none"/>
          <w14:textFill>
            <w14:solidFill>
              <w14:schemeClr w14:val="tx1"/>
            </w14:solidFill>
          </w14:textFill>
        </w:rPr>
        <w:t>：承包人主要施工管理人员表</w:t>
      </w:r>
      <w:bookmarkEnd w:id="477"/>
    </w:p>
    <w:p w14:paraId="7370C81B">
      <w:pPr>
        <w:spacing w:line="360" w:lineRule="auto"/>
        <w:jc w:val="left"/>
        <w:rPr>
          <w:rFonts w:ascii="宋体" w:hAnsi="宋体"/>
          <w:color w:val="000000" w:themeColor="text1"/>
          <w:szCs w:val="21"/>
          <w:highlight w:val="none"/>
          <w14:textFill>
            <w14:solidFill>
              <w14:schemeClr w14:val="tx1"/>
            </w14:solidFill>
          </w14:textFill>
        </w:rPr>
      </w:pPr>
      <w:bookmarkStart w:id="478" w:name="_Toc10831_WPSOffice_Level2"/>
      <w:r>
        <w:rPr>
          <w:rFonts w:ascii="宋体" w:hAnsi="宋体"/>
          <w:color w:val="000000" w:themeColor="text1"/>
          <w:szCs w:val="21"/>
          <w:highlight w:val="none"/>
          <w14:textFill>
            <w14:solidFill>
              <w14:schemeClr w14:val="tx1"/>
            </w14:solidFill>
          </w14:textFill>
        </w:rPr>
        <w:t>附件</w:t>
      </w:r>
      <w:r>
        <w:rPr>
          <w:rFonts w:hint="eastAsia" w:ascii="宋体" w:hAnsi="宋体"/>
          <w:color w:val="000000" w:themeColor="text1"/>
          <w:szCs w:val="21"/>
          <w:highlight w:val="none"/>
          <w14:textFill>
            <w14:solidFill>
              <w14:schemeClr w14:val="tx1"/>
            </w14:solidFill>
          </w14:textFill>
        </w:rPr>
        <w:t>6</w:t>
      </w:r>
      <w:r>
        <w:rPr>
          <w:rFonts w:ascii="宋体" w:hAnsi="宋体"/>
          <w:color w:val="000000" w:themeColor="text1"/>
          <w:szCs w:val="21"/>
          <w:highlight w:val="none"/>
          <w14:textFill>
            <w14:solidFill>
              <w14:schemeClr w14:val="tx1"/>
            </w14:solidFill>
          </w14:textFill>
        </w:rPr>
        <w:t>：分包人主要施工管理人员表</w:t>
      </w:r>
      <w:bookmarkEnd w:id="478"/>
    </w:p>
    <w:p w14:paraId="163E8938">
      <w:pPr>
        <w:pStyle w:val="5"/>
        <w:ind w:firstLine="0" w:firstLineChars="0"/>
        <w:rPr>
          <w:rFonts w:ascii="宋体" w:hAnsi="宋体"/>
          <w:color w:val="000000" w:themeColor="text1"/>
          <w:szCs w:val="21"/>
          <w:highlight w:val="none"/>
          <w14:textFill>
            <w14:solidFill>
              <w14:schemeClr w14:val="tx1"/>
            </w14:solidFill>
          </w14:textFill>
        </w:rPr>
      </w:pPr>
      <w:bookmarkStart w:id="479" w:name="_Toc32020_WPSOffice_Level2"/>
      <w:r>
        <w:rPr>
          <w:rFonts w:ascii="宋体" w:hAnsi="宋体"/>
          <w:color w:val="000000" w:themeColor="text1"/>
          <w:szCs w:val="21"/>
          <w:highlight w:val="none"/>
          <w14:textFill>
            <w14:solidFill>
              <w14:schemeClr w14:val="tx1"/>
            </w14:solidFill>
          </w14:textFill>
        </w:rPr>
        <w:t>附件</w:t>
      </w:r>
      <w:r>
        <w:rPr>
          <w:rFonts w:hint="eastAsia" w:ascii="宋体" w:hAnsi="宋体"/>
          <w:color w:val="000000" w:themeColor="text1"/>
          <w:szCs w:val="21"/>
          <w:highlight w:val="none"/>
          <w14:textFill>
            <w14:solidFill>
              <w14:schemeClr w14:val="tx1"/>
            </w14:solidFill>
          </w14:textFill>
        </w:rPr>
        <w:t>7</w:t>
      </w:r>
      <w:r>
        <w:rPr>
          <w:rFonts w:ascii="宋体" w:hAnsi="宋体"/>
          <w:color w:val="000000" w:themeColor="text1"/>
          <w:szCs w:val="21"/>
          <w:highlight w:val="none"/>
          <w14:textFill>
            <w14:solidFill>
              <w14:schemeClr w14:val="tx1"/>
            </w14:solidFill>
          </w14:textFill>
        </w:rPr>
        <w:t>：暂估价一览表</w:t>
      </w:r>
      <w:bookmarkEnd w:id="479"/>
    </w:p>
    <w:p w14:paraId="1393B7CC">
      <w:pPr>
        <w:widowControl/>
        <w:jc w:val="left"/>
        <w:rPr>
          <w:b/>
          <w:color w:val="000000" w:themeColor="text1"/>
          <w:highlight w:val="none"/>
          <w14:textFill>
            <w14:solidFill>
              <w14:schemeClr w14:val="tx1"/>
            </w14:solidFill>
          </w14:textFill>
        </w:rPr>
      </w:pPr>
      <w:r>
        <w:rPr>
          <w:b/>
          <w:color w:val="000000" w:themeColor="text1"/>
          <w:highlight w:val="none"/>
          <w14:textFill>
            <w14:solidFill>
              <w14:schemeClr w14:val="tx1"/>
            </w14:solidFill>
          </w14:textFill>
        </w:rPr>
        <w:br w:type="page"/>
      </w:r>
    </w:p>
    <w:p w14:paraId="4FC5D7B1">
      <w:pPr>
        <w:adjustRightInd w:val="0"/>
        <w:snapToGrid w:val="0"/>
        <w:spacing w:line="480" w:lineRule="exact"/>
        <w:rPr>
          <w:rFonts w:ascii="黑体" w:hAnsi="宋体" w:eastAsia="黑体"/>
          <w:b/>
          <w:color w:val="000000" w:themeColor="text1"/>
          <w:sz w:val="24"/>
          <w:highlight w:val="none"/>
          <w14:textFill>
            <w14:solidFill>
              <w14:schemeClr w14:val="tx1"/>
            </w14:solidFill>
          </w14:textFill>
        </w:rPr>
      </w:pPr>
      <w:r>
        <w:rPr>
          <w:rFonts w:hint="eastAsia" w:ascii="黑体" w:hAnsi="宋体" w:eastAsia="黑体"/>
          <w:b/>
          <w:color w:val="000000" w:themeColor="text1"/>
          <w:sz w:val="24"/>
          <w:highlight w:val="none"/>
          <w14:textFill>
            <w14:solidFill>
              <w14:schemeClr w14:val="tx1"/>
            </w14:solidFill>
          </w14:textFill>
        </w:rPr>
        <w:t>附</w:t>
      </w:r>
      <w:bookmarkStart w:id="480" w:name="_Toc296891265"/>
      <w:bookmarkStart w:id="481" w:name="_Toc296503225"/>
      <w:bookmarkStart w:id="482" w:name="_Toc296346726"/>
      <w:bookmarkStart w:id="483" w:name="_Toc267261692"/>
      <w:bookmarkStart w:id="484" w:name="_Toc296347224"/>
      <w:bookmarkStart w:id="485" w:name="_Toc296944564"/>
      <w:bookmarkStart w:id="486" w:name="_Toc296891053"/>
      <w:r>
        <w:rPr>
          <w:rFonts w:hint="eastAsia" w:ascii="黑体" w:hAnsi="宋体" w:eastAsia="黑体"/>
          <w:b/>
          <w:color w:val="000000" w:themeColor="text1"/>
          <w:sz w:val="24"/>
          <w:highlight w:val="none"/>
          <w14:textFill>
            <w14:solidFill>
              <w14:schemeClr w14:val="tx1"/>
            </w14:solidFill>
          </w14:textFill>
        </w:rPr>
        <w:t>件1：</w:t>
      </w:r>
    </w:p>
    <w:bookmarkEnd w:id="480"/>
    <w:bookmarkEnd w:id="481"/>
    <w:bookmarkEnd w:id="482"/>
    <w:bookmarkEnd w:id="483"/>
    <w:bookmarkEnd w:id="484"/>
    <w:bookmarkEnd w:id="485"/>
    <w:bookmarkEnd w:id="486"/>
    <w:p w14:paraId="0DCCF987">
      <w:pPr>
        <w:jc w:val="center"/>
        <w:rPr>
          <w:rFonts w:ascii="黑体" w:hAnsi="宋体" w:eastAsia="黑体"/>
          <w:b/>
          <w:color w:val="000000" w:themeColor="text1"/>
          <w:sz w:val="24"/>
          <w:highlight w:val="none"/>
          <w14:textFill>
            <w14:solidFill>
              <w14:schemeClr w14:val="tx1"/>
            </w14:solidFill>
          </w14:textFill>
        </w:rPr>
      </w:pPr>
      <w:r>
        <w:rPr>
          <w:rFonts w:hint="eastAsia" w:ascii="黑体" w:hAnsi="宋体" w:eastAsia="黑体"/>
          <w:b/>
          <w:color w:val="000000" w:themeColor="text1"/>
          <w:sz w:val="24"/>
          <w:highlight w:val="none"/>
          <w14:textFill>
            <w14:solidFill>
              <w14:schemeClr w14:val="tx1"/>
            </w14:solidFill>
          </w14:textFill>
        </w:rPr>
        <w:t>发包人供应材料设备一览表</w:t>
      </w:r>
    </w:p>
    <w:tbl>
      <w:tblPr>
        <w:tblStyle w:val="6"/>
        <w:tblW w:w="100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72"/>
        <w:gridCol w:w="1276"/>
        <w:gridCol w:w="1418"/>
        <w:gridCol w:w="940"/>
        <w:gridCol w:w="851"/>
        <w:gridCol w:w="1044"/>
        <w:gridCol w:w="992"/>
        <w:gridCol w:w="851"/>
        <w:gridCol w:w="1270"/>
        <w:gridCol w:w="850"/>
      </w:tblGrid>
      <w:tr w14:paraId="31BFC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70" w:hRule="atLeast"/>
          <w:jc w:val="center"/>
        </w:trPr>
        <w:tc>
          <w:tcPr>
            <w:tcW w:w="572" w:type="dxa"/>
            <w:vAlign w:val="center"/>
          </w:tcPr>
          <w:p w14:paraId="33EA7A7A">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序号</w:t>
            </w:r>
          </w:p>
        </w:tc>
        <w:tc>
          <w:tcPr>
            <w:tcW w:w="1276" w:type="dxa"/>
            <w:vAlign w:val="center"/>
          </w:tcPr>
          <w:p w14:paraId="7D5C0101">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材料、设备品种</w:t>
            </w:r>
          </w:p>
        </w:tc>
        <w:tc>
          <w:tcPr>
            <w:tcW w:w="1418" w:type="dxa"/>
            <w:vAlign w:val="center"/>
          </w:tcPr>
          <w:p w14:paraId="5F5843D5">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规格型号</w:t>
            </w:r>
          </w:p>
        </w:tc>
        <w:tc>
          <w:tcPr>
            <w:tcW w:w="940" w:type="dxa"/>
            <w:vAlign w:val="center"/>
          </w:tcPr>
          <w:p w14:paraId="2239FA19">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单位</w:t>
            </w:r>
          </w:p>
        </w:tc>
        <w:tc>
          <w:tcPr>
            <w:tcW w:w="851" w:type="dxa"/>
            <w:vAlign w:val="center"/>
          </w:tcPr>
          <w:p w14:paraId="469F57FA">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数量</w:t>
            </w:r>
          </w:p>
        </w:tc>
        <w:tc>
          <w:tcPr>
            <w:tcW w:w="1044" w:type="dxa"/>
            <w:vAlign w:val="center"/>
          </w:tcPr>
          <w:p w14:paraId="7DD4A184">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单价</w:t>
            </w:r>
          </w:p>
          <w:p w14:paraId="1235A52F">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（元）</w:t>
            </w:r>
          </w:p>
        </w:tc>
        <w:tc>
          <w:tcPr>
            <w:tcW w:w="992" w:type="dxa"/>
            <w:vAlign w:val="center"/>
          </w:tcPr>
          <w:p w14:paraId="46314D5E">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质量</w:t>
            </w:r>
            <w:r>
              <w:rPr>
                <w:rFonts w:hint="eastAsia" w:ascii="宋体" w:hAnsi="宋体"/>
                <w:b/>
                <w:color w:val="000000" w:themeColor="text1"/>
                <w:szCs w:val="21"/>
                <w:highlight w:val="none"/>
                <w14:textFill>
                  <w14:solidFill>
                    <w14:schemeClr w14:val="tx1"/>
                  </w14:solidFill>
                </w14:textFill>
              </w:rPr>
              <w:t xml:space="preserve">  </w:t>
            </w:r>
          </w:p>
          <w:p w14:paraId="53A0FC5B">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等级</w:t>
            </w:r>
          </w:p>
        </w:tc>
        <w:tc>
          <w:tcPr>
            <w:tcW w:w="851" w:type="dxa"/>
            <w:vAlign w:val="center"/>
          </w:tcPr>
          <w:p w14:paraId="5F08082E">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供应</w:t>
            </w:r>
            <w:r>
              <w:rPr>
                <w:rFonts w:hint="eastAsia" w:ascii="宋体" w:hAnsi="宋体"/>
                <w:b/>
                <w:color w:val="000000" w:themeColor="text1"/>
                <w:szCs w:val="21"/>
                <w:highlight w:val="none"/>
                <w14:textFill>
                  <w14:solidFill>
                    <w14:schemeClr w14:val="tx1"/>
                  </w14:solidFill>
                </w14:textFill>
              </w:rPr>
              <w:t xml:space="preserve"> </w:t>
            </w:r>
            <w:r>
              <w:rPr>
                <w:rFonts w:ascii="宋体" w:hAnsi="宋体"/>
                <w:b/>
                <w:color w:val="000000" w:themeColor="text1"/>
                <w:szCs w:val="21"/>
                <w:highlight w:val="none"/>
                <w14:textFill>
                  <w14:solidFill>
                    <w14:schemeClr w14:val="tx1"/>
                  </w14:solidFill>
                </w14:textFill>
              </w:rPr>
              <w:t>时间</w:t>
            </w:r>
          </w:p>
        </w:tc>
        <w:tc>
          <w:tcPr>
            <w:tcW w:w="1270" w:type="dxa"/>
            <w:vAlign w:val="center"/>
          </w:tcPr>
          <w:p w14:paraId="1D98443E">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送达地点</w:t>
            </w:r>
          </w:p>
        </w:tc>
        <w:tc>
          <w:tcPr>
            <w:tcW w:w="850" w:type="dxa"/>
            <w:vAlign w:val="center"/>
          </w:tcPr>
          <w:p w14:paraId="5C83B605">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备注</w:t>
            </w:r>
          </w:p>
        </w:tc>
      </w:tr>
      <w:tr w14:paraId="6FD31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6F3BF55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31282D2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467F8BF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40" w:type="dxa"/>
            <w:vAlign w:val="center"/>
          </w:tcPr>
          <w:p w14:paraId="6616292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60D425F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44" w:type="dxa"/>
            <w:vAlign w:val="center"/>
          </w:tcPr>
          <w:p w14:paraId="48E29F2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92" w:type="dxa"/>
            <w:vAlign w:val="center"/>
          </w:tcPr>
          <w:p w14:paraId="1791213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5963253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0" w:type="dxa"/>
            <w:vAlign w:val="center"/>
          </w:tcPr>
          <w:p w14:paraId="59C1A38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264C1AA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68055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422F2AD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1DD4076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30EF160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40" w:type="dxa"/>
            <w:vAlign w:val="center"/>
          </w:tcPr>
          <w:p w14:paraId="28BFD5C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137D022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44" w:type="dxa"/>
            <w:vAlign w:val="center"/>
          </w:tcPr>
          <w:p w14:paraId="56EE1C2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92" w:type="dxa"/>
            <w:vAlign w:val="center"/>
          </w:tcPr>
          <w:p w14:paraId="3B4F3C4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3B65C02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0" w:type="dxa"/>
            <w:vAlign w:val="center"/>
          </w:tcPr>
          <w:p w14:paraId="570CDC7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47D968B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2D246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0434D1E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18013DF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70225B6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40" w:type="dxa"/>
            <w:vAlign w:val="center"/>
          </w:tcPr>
          <w:p w14:paraId="6D7B6F5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3E8C5AF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44" w:type="dxa"/>
            <w:vAlign w:val="center"/>
          </w:tcPr>
          <w:p w14:paraId="2D420C9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92" w:type="dxa"/>
            <w:vAlign w:val="center"/>
          </w:tcPr>
          <w:p w14:paraId="08241D4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601F7E0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0" w:type="dxa"/>
            <w:vAlign w:val="center"/>
          </w:tcPr>
          <w:p w14:paraId="6FA4977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38DA6E0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79B3B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22A59AF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69FCA6C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25A2E4E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40" w:type="dxa"/>
            <w:vAlign w:val="center"/>
          </w:tcPr>
          <w:p w14:paraId="120E56A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44866B0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44" w:type="dxa"/>
            <w:vAlign w:val="center"/>
          </w:tcPr>
          <w:p w14:paraId="5C4E242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92" w:type="dxa"/>
            <w:vAlign w:val="center"/>
          </w:tcPr>
          <w:p w14:paraId="5B00D89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6516464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0" w:type="dxa"/>
            <w:vAlign w:val="center"/>
          </w:tcPr>
          <w:p w14:paraId="68028D1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6F87A86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071C0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55553BF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050C056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5333C15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40" w:type="dxa"/>
            <w:vAlign w:val="center"/>
          </w:tcPr>
          <w:p w14:paraId="496E86A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0E0CCBC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44" w:type="dxa"/>
            <w:vAlign w:val="center"/>
          </w:tcPr>
          <w:p w14:paraId="615B2E4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92" w:type="dxa"/>
            <w:vAlign w:val="center"/>
          </w:tcPr>
          <w:p w14:paraId="3597F5D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47872A7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0" w:type="dxa"/>
            <w:vAlign w:val="center"/>
          </w:tcPr>
          <w:p w14:paraId="1916ADB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4DA5571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259DB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1858162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36D3C26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73DBE0A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40" w:type="dxa"/>
            <w:vAlign w:val="center"/>
          </w:tcPr>
          <w:p w14:paraId="6407B69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5909B72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44" w:type="dxa"/>
            <w:vAlign w:val="center"/>
          </w:tcPr>
          <w:p w14:paraId="235076E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92" w:type="dxa"/>
            <w:vAlign w:val="center"/>
          </w:tcPr>
          <w:p w14:paraId="6A8588C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1CFE6CB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0" w:type="dxa"/>
            <w:vAlign w:val="center"/>
          </w:tcPr>
          <w:p w14:paraId="19E7497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53662A9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730DF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5FF9E3A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35706A8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6D6164F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40" w:type="dxa"/>
            <w:vAlign w:val="center"/>
          </w:tcPr>
          <w:p w14:paraId="78456CF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66C66F9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44" w:type="dxa"/>
            <w:vAlign w:val="center"/>
          </w:tcPr>
          <w:p w14:paraId="7B06478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92" w:type="dxa"/>
            <w:vAlign w:val="center"/>
          </w:tcPr>
          <w:p w14:paraId="5C42EFB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3D7087A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0" w:type="dxa"/>
            <w:vAlign w:val="center"/>
          </w:tcPr>
          <w:p w14:paraId="0420886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4C7A9D3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25DCF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727680D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194ED80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4600105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40" w:type="dxa"/>
            <w:vAlign w:val="center"/>
          </w:tcPr>
          <w:p w14:paraId="626B7A5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13800A3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44" w:type="dxa"/>
            <w:vAlign w:val="center"/>
          </w:tcPr>
          <w:p w14:paraId="1A80FB1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92" w:type="dxa"/>
            <w:vAlign w:val="center"/>
          </w:tcPr>
          <w:p w14:paraId="44BFB6C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1F03B9D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0" w:type="dxa"/>
            <w:vAlign w:val="center"/>
          </w:tcPr>
          <w:p w14:paraId="125DB0A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3F991EA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3FAE9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6144796E">
            <w:pPr>
              <w:jc w:val="center"/>
              <w:rPr>
                <w:rFonts w:ascii="宋体" w:hAnsi="宋体"/>
                <w:color w:val="000000" w:themeColor="text1"/>
                <w:szCs w:val="21"/>
                <w:highlight w:val="none"/>
                <w14:textFill>
                  <w14:solidFill>
                    <w14:schemeClr w14:val="tx1"/>
                  </w14:solidFill>
                </w14:textFill>
              </w:rPr>
            </w:pPr>
          </w:p>
        </w:tc>
        <w:tc>
          <w:tcPr>
            <w:tcW w:w="1276" w:type="dxa"/>
            <w:vAlign w:val="center"/>
          </w:tcPr>
          <w:p w14:paraId="6FBA04FD">
            <w:pPr>
              <w:jc w:val="center"/>
              <w:rPr>
                <w:rFonts w:ascii="宋体" w:hAnsi="宋体"/>
                <w:color w:val="000000" w:themeColor="text1"/>
                <w:szCs w:val="21"/>
                <w:highlight w:val="none"/>
                <w14:textFill>
                  <w14:solidFill>
                    <w14:schemeClr w14:val="tx1"/>
                  </w14:solidFill>
                </w14:textFill>
              </w:rPr>
            </w:pPr>
          </w:p>
        </w:tc>
        <w:tc>
          <w:tcPr>
            <w:tcW w:w="1418" w:type="dxa"/>
            <w:vAlign w:val="center"/>
          </w:tcPr>
          <w:p w14:paraId="312910EA">
            <w:pPr>
              <w:jc w:val="center"/>
              <w:rPr>
                <w:rFonts w:ascii="宋体" w:hAnsi="宋体"/>
                <w:color w:val="000000" w:themeColor="text1"/>
                <w:szCs w:val="21"/>
                <w:highlight w:val="none"/>
                <w14:textFill>
                  <w14:solidFill>
                    <w14:schemeClr w14:val="tx1"/>
                  </w14:solidFill>
                </w14:textFill>
              </w:rPr>
            </w:pPr>
          </w:p>
        </w:tc>
        <w:tc>
          <w:tcPr>
            <w:tcW w:w="940" w:type="dxa"/>
            <w:vAlign w:val="center"/>
          </w:tcPr>
          <w:p w14:paraId="305A338A">
            <w:pPr>
              <w:jc w:val="center"/>
              <w:rPr>
                <w:rFonts w:ascii="宋体" w:hAnsi="宋体"/>
                <w:color w:val="000000" w:themeColor="text1"/>
                <w:szCs w:val="21"/>
                <w:highlight w:val="none"/>
                <w14:textFill>
                  <w14:solidFill>
                    <w14:schemeClr w14:val="tx1"/>
                  </w14:solidFill>
                </w14:textFill>
              </w:rPr>
            </w:pPr>
          </w:p>
        </w:tc>
        <w:tc>
          <w:tcPr>
            <w:tcW w:w="851" w:type="dxa"/>
            <w:vAlign w:val="center"/>
          </w:tcPr>
          <w:p w14:paraId="38E3FB62">
            <w:pPr>
              <w:jc w:val="center"/>
              <w:rPr>
                <w:rFonts w:ascii="宋体" w:hAnsi="宋体"/>
                <w:color w:val="000000" w:themeColor="text1"/>
                <w:szCs w:val="21"/>
                <w:highlight w:val="none"/>
                <w14:textFill>
                  <w14:solidFill>
                    <w14:schemeClr w14:val="tx1"/>
                  </w14:solidFill>
                </w14:textFill>
              </w:rPr>
            </w:pPr>
          </w:p>
        </w:tc>
        <w:tc>
          <w:tcPr>
            <w:tcW w:w="1044" w:type="dxa"/>
            <w:vAlign w:val="center"/>
          </w:tcPr>
          <w:p w14:paraId="1AA8E3D6">
            <w:pPr>
              <w:jc w:val="center"/>
              <w:rPr>
                <w:rFonts w:ascii="宋体" w:hAnsi="宋体"/>
                <w:color w:val="000000" w:themeColor="text1"/>
                <w:szCs w:val="21"/>
                <w:highlight w:val="none"/>
                <w14:textFill>
                  <w14:solidFill>
                    <w14:schemeClr w14:val="tx1"/>
                  </w14:solidFill>
                </w14:textFill>
              </w:rPr>
            </w:pPr>
          </w:p>
        </w:tc>
        <w:tc>
          <w:tcPr>
            <w:tcW w:w="992" w:type="dxa"/>
            <w:vAlign w:val="center"/>
          </w:tcPr>
          <w:p w14:paraId="7A704218">
            <w:pPr>
              <w:jc w:val="center"/>
              <w:rPr>
                <w:rFonts w:ascii="宋体" w:hAnsi="宋体"/>
                <w:color w:val="000000" w:themeColor="text1"/>
                <w:szCs w:val="21"/>
                <w:highlight w:val="none"/>
                <w14:textFill>
                  <w14:solidFill>
                    <w14:schemeClr w14:val="tx1"/>
                  </w14:solidFill>
                </w14:textFill>
              </w:rPr>
            </w:pPr>
          </w:p>
        </w:tc>
        <w:tc>
          <w:tcPr>
            <w:tcW w:w="851" w:type="dxa"/>
            <w:vAlign w:val="center"/>
          </w:tcPr>
          <w:p w14:paraId="74D499DA">
            <w:pPr>
              <w:jc w:val="center"/>
              <w:rPr>
                <w:rFonts w:ascii="宋体" w:hAnsi="宋体"/>
                <w:color w:val="000000" w:themeColor="text1"/>
                <w:szCs w:val="21"/>
                <w:highlight w:val="none"/>
                <w14:textFill>
                  <w14:solidFill>
                    <w14:schemeClr w14:val="tx1"/>
                  </w14:solidFill>
                </w14:textFill>
              </w:rPr>
            </w:pPr>
          </w:p>
        </w:tc>
        <w:tc>
          <w:tcPr>
            <w:tcW w:w="1270" w:type="dxa"/>
            <w:vAlign w:val="center"/>
          </w:tcPr>
          <w:p w14:paraId="0ED7C941">
            <w:pPr>
              <w:jc w:val="center"/>
              <w:rPr>
                <w:rFonts w:ascii="宋体" w:hAnsi="宋体"/>
                <w:color w:val="000000" w:themeColor="text1"/>
                <w:szCs w:val="21"/>
                <w:highlight w:val="none"/>
                <w14:textFill>
                  <w14:solidFill>
                    <w14:schemeClr w14:val="tx1"/>
                  </w14:solidFill>
                </w14:textFill>
              </w:rPr>
            </w:pPr>
          </w:p>
        </w:tc>
        <w:tc>
          <w:tcPr>
            <w:tcW w:w="850" w:type="dxa"/>
            <w:vAlign w:val="center"/>
          </w:tcPr>
          <w:p w14:paraId="63CB405E">
            <w:pPr>
              <w:jc w:val="center"/>
              <w:rPr>
                <w:rFonts w:ascii="宋体" w:hAnsi="宋体"/>
                <w:color w:val="000000" w:themeColor="text1"/>
                <w:szCs w:val="21"/>
                <w:highlight w:val="none"/>
                <w14:textFill>
                  <w14:solidFill>
                    <w14:schemeClr w14:val="tx1"/>
                  </w14:solidFill>
                </w14:textFill>
              </w:rPr>
            </w:pPr>
          </w:p>
        </w:tc>
      </w:tr>
      <w:tr w14:paraId="4B537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1F465BD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3AA967E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31AABBE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40" w:type="dxa"/>
            <w:vAlign w:val="center"/>
          </w:tcPr>
          <w:p w14:paraId="479C07E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3D746BF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44" w:type="dxa"/>
            <w:vAlign w:val="center"/>
          </w:tcPr>
          <w:p w14:paraId="186F59B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92" w:type="dxa"/>
            <w:vAlign w:val="center"/>
          </w:tcPr>
          <w:p w14:paraId="45B64FE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35E971F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0" w:type="dxa"/>
            <w:vAlign w:val="center"/>
          </w:tcPr>
          <w:p w14:paraId="628904F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10620E7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35E9F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67763E32">
            <w:pPr>
              <w:jc w:val="center"/>
              <w:rPr>
                <w:rFonts w:ascii="宋体" w:hAnsi="宋体"/>
                <w:color w:val="000000" w:themeColor="text1"/>
                <w:szCs w:val="21"/>
                <w:highlight w:val="none"/>
                <w14:textFill>
                  <w14:solidFill>
                    <w14:schemeClr w14:val="tx1"/>
                  </w14:solidFill>
                </w14:textFill>
              </w:rPr>
            </w:pPr>
          </w:p>
        </w:tc>
        <w:tc>
          <w:tcPr>
            <w:tcW w:w="1276" w:type="dxa"/>
            <w:vAlign w:val="center"/>
          </w:tcPr>
          <w:p w14:paraId="60301438">
            <w:pPr>
              <w:jc w:val="center"/>
              <w:rPr>
                <w:rFonts w:ascii="宋体" w:hAnsi="宋体"/>
                <w:color w:val="000000" w:themeColor="text1"/>
                <w:szCs w:val="21"/>
                <w:highlight w:val="none"/>
                <w14:textFill>
                  <w14:solidFill>
                    <w14:schemeClr w14:val="tx1"/>
                  </w14:solidFill>
                </w14:textFill>
              </w:rPr>
            </w:pPr>
          </w:p>
        </w:tc>
        <w:tc>
          <w:tcPr>
            <w:tcW w:w="1418" w:type="dxa"/>
            <w:vAlign w:val="center"/>
          </w:tcPr>
          <w:p w14:paraId="5FBFCC6A">
            <w:pPr>
              <w:jc w:val="center"/>
              <w:rPr>
                <w:rFonts w:ascii="宋体" w:hAnsi="宋体"/>
                <w:color w:val="000000" w:themeColor="text1"/>
                <w:szCs w:val="21"/>
                <w:highlight w:val="none"/>
                <w14:textFill>
                  <w14:solidFill>
                    <w14:schemeClr w14:val="tx1"/>
                  </w14:solidFill>
                </w14:textFill>
              </w:rPr>
            </w:pPr>
          </w:p>
        </w:tc>
        <w:tc>
          <w:tcPr>
            <w:tcW w:w="940" w:type="dxa"/>
            <w:vAlign w:val="center"/>
          </w:tcPr>
          <w:p w14:paraId="17C09F1E">
            <w:pPr>
              <w:jc w:val="center"/>
              <w:rPr>
                <w:rFonts w:ascii="宋体" w:hAnsi="宋体"/>
                <w:color w:val="000000" w:themeColor="text1"/>
                <w:szCs w:val="21"/>
                <w:highlight w:val="none"/>
                <w14:textFill>
                  <w14:solidFill>
                    <w14:schemeClr w14:val="tx1"/>
                  </w14:solidFill>
                </w14:textFill>
              </w:rPr>
            </w:pPr>
          </w:p>
        </w:tc>
        <w:tc>
          <w:tcPr>
            <w:tcW w:w="851" w:type="dxa"/>
            <w:vAlign w:val="center"/>
          </w:tcPr>
          <w:p w14:paraId="57F81D1C">
            <w:pPr>
              <w:jc w:val="center"/>
              <w:rPr>
                <w:rFonts w:ascii="宋体" w:hAnsi="宋体"/>
                <w:color w:val="000000" w:themeColor="text1"/>
                <w:szCs w:val="21"/>
                <w:highlight w:val="none"/>
                <w14:textFill>
                  <w14:solidFill>
                    <w14:schemeClr w14:val="tx1"/>
                  </w14:solidFill>
                </w14:textFill>
              </w:rPr>
            </w:pPr>
          </w:p>
        </w:tc>
        <w:tc>
          <w:tcPr>
            <w:tcW w:w="1044" w:type="dxa"/>
            <w:vAlign w:val="center"/>
          </w:tcPr>
          <w:p w14:paraId="5E97811E">
            <w:pPr>
              <w:jc w:val="center"/>
              <w:rPr>
                <w:rFonts w:ascii="宋体" w:hAnsi="宋体"/>
                <w:color w:val="000000" w:themeColor="text1"/>
                <w:szCs w:val="21"/>
                <w:highlight w:val="none"/>
                <w14:textFill>
                  <w14:solidFill>
                    <w14:schemeClr w14:val="tx1"/>
                  </w14:solidFill>
                </w14:textFill>
              </w:rPr>
            </w:pPr>
          </w:p>
        </w:tc>
        <w:tc>
          <w:tcPr>
            <w:tcW w:w="992" w:type="dxa"/>
            <w:vAlign w:val="center"/>
          </w:tcPr>
          <w:p w14:paraId="3301F53E">
            <w:pPr>
              <w:jc w:val="center"/>
              <w:rPr>
                <w:rFonts w:ascii="宋体" w:hAnsi="宋体"/>
                <w:color w:val="000000" w:themeColor="text1"/>
                <w:szCs w:val="21"/>
                <w:highlight w:val="none"/>
                <w14:textFill>
                  <w14:solidFill>
                    <w14:schemeClr w14:val="tx1"/>
                  </w14:solidFill>
                </w14:textFill>
              </w:rPr>
            </w:pPr>
          </w:p>
        </w:tc>
        <w:tc>
          <w:tcPr>
            <w:tcW w:w="851" w:type="dxa"/>
            <w:vAlign w:val="center"/>
          </w:tcPr>
          <w:p w14:paraId="10B419FD">
            <w:pPr>
              <w:jc w:val="center"/>
              <w:rPr>
                <w:rFonts w:ascii="宋体" w:hAnsi="宋体"/>
                <w:color w:val="000000" w:themeColor="text1"/>
                <w:szCs w:val="21"/>
                <w:highlight w:val="none"/>
                <w14:textFill>
                  <w14:solidFill>
                    <w14:schemeClr w14:val="tx1"/>
                  </w14:solidFill>
                </w14:textFill>
              </w:rPr>
            </w:pPr>
          </w:p>
        </w:tc>
        <w:tc>
          <w:tcPr>
            <w:tcW w:w="1270" w:type="dxa"/>
            <w:vAlign w:val="center"/>
          </w:tcPr>
          <w:p w14:paraId="2A8E0AD9">
            <w:pPr>
              <w:jc w:val="center"/>
              <w:rPr>
                <w:rFonts w:ascii="宋体" w:hAnsi="宋体"/>
                <w:color w:val="000000" w:themeColor="text1"/>
                <w:szCs w:val="21"/>
                <w:highlight w:val="none"/>
                <w14:textFill>
                  <w14:solidFill>
                    <w14:schemeClr w14:val="tx1"/>
                  </w14:solidFill>
                </w14:textFill>
              </w:rPr>
            </w:pPr>
          </w:p>
        </w:tc>
        <w:tc>
          <w:tcPr>
            <w:tcW w:w="850" w:type="dxa"/>
            <w:vAlign w:val="center"/>
          </w:tcPr>
          <w:p w14:paraId="1F614078">
            <w:pPr>
              <w:jc w:val="center"/>
              <w:rPr>
                <w:rFonts w:ascii="宋体" w:hAnsi="宋体"/>
                <w:color w:val="000000" w:themeColor="text1"/>
                <w:szCs w:val="21"/>
                <w:highlight w:val="none"/>
                <w14:textFill>
                  <w14:solidFill>
                    <w14:schemeClr w14:val="tx1"/>
                  </w14:solidFill>
                </w14:textFill>
              </w:rPr>
            </w:pPr>
          </w:p>
        </w:tc>
      </w:tr>
      <w:tr w14:paraId="4642B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0724658B">
            <w:pPr>
              <w:jc w:val="center"/>
              <w:rPr>
                <w:rFonts w:ascii="宋体" w:hAnsi="宋体"/>
                <w:color w:val="000000" w:themeColor="text1"/>
                <w:szCs w:val="21"/>
                <w:highlight w:val="none"/>
                <w14:textFill>
                  <w14:solidFill>
                    <w14:schemeClr w14:val="tx1"/>
                  </w14:solidFill>
                </w14:textFill>
              </w:rPr>
            </w:pPr>
          </w:p>
        </w:tc>
        <w:tc>
          <w:tcPr>
            <w:tcW w:w="1276" w:type="dxa"/>
            <w:vAlign w:val="center"/>
          </w:tcPr>
          <w:p w14:paraId="6C847676">
            <w:pPr>
              <w:jc w:val="center"/>
              <w:rPr>
                <w:rFonts w:ascii="宋体" w:hAnsi="宋体"/>
                <w:color w:val="000000" w:themeColor="text1"/>
                <w:szCs w:val="21"/>
                <w:highlight w:val="none"/>
                <w14:textFill>
                  <w14:solidFill>
                    <w14:schemeClr w14:val="tx1"/>
                  </w14:solidFill>
                </w14:textFill>
              </w:rPr>
            </w:pPr>
          </w:p>
        </w:tc>
        <w:tc>
          <w:tcPr>
            <w:tcW w:w="1418" w:type="dxa"/>
            <w:vAlign w:val="center"/>
          </w:tcPr>
          <w:p w14:paraId="289A6494">
            <w:pPr>
              <w:jc w:val="center"/>
              <w:rPr>
                <w:rFonts w:ascii="宋体" w:hAnsi="宋体"/>
                <w:color w:val="000000" w:themeColor="text1"/>
                <w:szCs w:val="21"/>
                <w:highlight w:val="none"/>
                <w14:textFill>
                  <w14:solidFill>
                    <w14:schemeClr w14:val="tx1"/>
                  </w14:solidFill>
                </w14:textFill>
              </w:rPr>
            </w:pPr>
          </w:p>
        </w:tc>
        <w:tc>
          <w:tcPr>
            <w:tcW w:w="940" w:type="dxa"/>
            <w:vAlign w:val="center"/>
          </w:tcPr>
          <w:p w14:paraId="7FAF09FF">
            <w:pPr>
              <w:jc w:val="center"/>
              <w:rPr>
                <w:rFonts w:ascii="宋体" w:hAnsi="宋体"/>
                <w:color w:val="000000" w:themeColor="text1"/>
                <w:szCs w:val="21"/>
                <w:highlight w:val="none"/>
                <w14:textFill>
                  <w14:solidFill>
                    <w14:schemeClr w14:val="tx1"/>
                  </w14:solidFill>
                </w14:textFill>
              </w:rPr>
            </w:pPr>
          </w:p>
        </w:tc>
        <w:tc>
          <w:tcPr>
            <w:tcW w:w="851" w:type="dxa"/>
            <w:vAlign w:val="center"/>
          </w:tcPr>
          <w:p w14:paraId="414989B8">
            <w:pPr>
              <w:jc w:val="center"/>
              <w:rPr>
                <w:rFonts w:ascii="宋体" w:hAnsi="宋体"/>
                <w:color w:val="000000" w:themeColor="text1"/>
                <w:szCs w:val="21"/>
                <w:highlight w:val="none"/>
                <w14:textFill>
                  <w14:solidFill>
                    <w14:schemeClr w14:val="tx1"/>
                  </w14:solidFill>
                </w14:textFill>
              </w:rPr>
            </w:pPr>
          </w:p>
        </w:tc>
        <w:tc>
          <w:tcPr>
            <w:tcW w:w="1044" w:type="dxa"/>
            <w:vAlign w:val="center"/>
          </w:tcPr>
          <w:p w14:paraId="50280EB7">
            <w:pPr>
              <w:jc w:val="center"/>
              <w:rPr>
                <w:rFonts w:ascii="宋体" w:hAnsi="宋体"/>
                <w:color w:val="000000" w:themeColor="text1"/>
                <w:szCs w:val="21"/>
                <w:highlight w:val="none"/>
                <w14:textFill>
                  <w14:solidFill>
                    <w14:schemeClr w14:val="tx1"/>
                  </w14:solidFill>
                </w14:textFill>
              </w:rPr>
            </w:pPr>
          </w:p>
        </w:tc>
        <w:tc>
          <w:tcPr>
            <w:tcW w:w="992" w:type="dxa"/>
            <w:vAlign w:val="center"/>
          </w:tcPr>
          <w:p w14:paraId="101BCA3E">
            <w:pPr>
              <w:jc w:val="center"/>
              <w:rPr>
                <w:rFonts w:ascii="宋体" w:hAnsi="宋体"/>
                <w:color w:val="000000" w:themeColor="text1"/>
                <w:szCs w:val="21"/>
                <w:highlight w:val="none"/>
                <w14:textFill>
                  <w14:solidFill>
                    <w14:schemeClr w14:val="tx1"/>
                  </w14:solidFill>
                </w14:textFill>
              </w:rPr>
            </w:pPr>
          </w:p>
        </w:tc>
        <w:tc>
          <w:tcPr>
            <w:tcW w:w="851" w:type="dxa"/>
            <w:vAlign w:val="center"/>
          </w:tcPr>
          <w:p w14:paraId="2AC8F641">
            <w:pPr>
              <w:jc w:val="center"/>
              <w:rPr>
                <w:rFonts w:ascii="宋体" w:hAnsi="宋体"/>
                <w:color w:val="000000" w:themeColor="text1"/>
                <w:szCs w:val="21"/>
                <w:highlight w:val="none"/>
                <w14:textFill>
                  <w14:solidFill>
                    <w14:schemeClr w14:val="tx1"/>
                  </w14:solidFill>
                </w14:textFill>
              </w:rPr>
            </w:pPr>
          </w:p>
        </w:tc>
        <w:tc>
          <w:tcPr>
            <w:tcW w:w="1270" w:type="dxa"/>
            <w:vAlign w:val="center"/>
          </w:tcPr>
          <w:p w14:paraId="2A00FB28">
            <w:pPr>
              <w:jc w:val="center"/>
              <w:rPr>
                <w:rFonts w:ascii="宋体" w:hAnsi="宋体"/>
                <w:color w:val="000000" w:themeColor="text1"/>
                <w:szCs w:val="21"/>
                <w:highlight w:val="none"/>
                <w14:textFill>
                  <w14:solidFill>
                    <w14:schemeClr w14:val="tx1"/>
                  </w14:solidFill>
                </w14:textFill>
              </w:rPr>
            </w:pPr>
          </w:p>
        </w:tc>
        <w:tc>
          <w:tcPr>
            <w:tcW w:w="850" w:type="dxa"/>
            <w:vAlign w:val="center"/>
          </w:tcPr>
          <w:p w14:paraId="3A4573B6">
            <w:pPr>
              <w:jc w:val="center"/>
              <w:rPr>
                <w:rFonts w:ascii="宋体" w:hAnsi="宋体"/>
                <w:color w:val="000000" w:themeColor="text1"/>
                <w:szCs w:val="21"/>
                <w:highlight w:val="none"/>
                <w14:textFill>
                  <w14:solidFill>
                    <w14:schemeClr w14:val="tx1"/>
                  </w14:solidFill>
                </w14:textFill>
              </w:rPr>
            </w:pPr>
          </w:p>
        </w:tc>
      </w:tr>
      <w:tr w14:paraId="16EBE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52AC1C8C">
            <w:pPr>
              <w:jc w:val="center"/>
              <w:rPr>
                <w:rFonts w:ascii="宋体" w:hAnsi="宋体"/>
                <w:color w:val="000000" w:themeColor="text1"/>
                <w:szCs w:val="21"/>
                <w:highlight w:val="none"/>
                <w14:textFill>
                  <w14:solidFill>
                    <w14:schemeClr w14:val="tx1"/>
                  </w14:solidFill>
                </w14:textFill>
              </w:rPr>
            </w:pPr>
          </w:p>
        </w:tc>
        <w:tc>
          <w:tcPr>
            <w:tcW w:w="1276" w:type="dxa"/>
            <w:vAlign w:val="center"/>
          </w:tcPr>
          <w:p w14:paraId="62C8649D">
            <w:pPr>
              <w:jc w:val="center"/>
              <w:rPr>
                <w:rFonts w:ascii="宋体" w:hAnsi="宋体"/>
                <w:color w:val="000000" w:themeColor="text1"/>
                <w:szCs w:val="21"/>
                <w:highlight w:val="none"/>
                <w14:textFill>
                  <w14:solidFill>
                    <w14:schemeClr w14:val="tx1"/>
                  </w14:solidFill>
                </w14:textFill>
              </w:rPr>
            </w:pPr>
          </w:p>
        </w:tc>
        <w:tc>
          <w:tcPr>
            <w:tcW w:w="1418" w:type="dxa"/>
            <w:vAlign w:val="center"/>
          </w:tcPr>
          <w:p w14:paraId="5DC5F0AA">
            <w:pPr>
              <w:jc w:val="center"/>
              <w:rPr>
                <w:rFonts w:ascii="宋体" w:hAnsi="宋体"/>
                <w:color w:val="000000" w:themeColor="text1"/>
                <w:szCs w:val="21"/>
                <w:highlight w:val="none"/>
                <w14:textFill>
                  <w14:solidFill>
                    <w14:schemeClr w14:val="tx1"/>
                  </w14:solidFill>
                </w14:textFill>
              </w:rPr>
            </w:pPr>
          </w:p>
        </w:tc>
        <w:tc>
          <w:tcPr>
            <w:tcW w:w="940" w:type="dxa"/>
            <w:vAlign w:val="center"/>
          </w:tcPr>
          <w:p w14:paraId="414BDF16">
            <w:pPr>
              <w:jc w:val="center"/>
              <w:rPr>
                <w:rFonts w:ascii="宋体" w:hAnsi="宋体"/>
                <w:color w:val="000000" w:themeColor="text1"/>
                <w:szCs w:val="21"/>
                <w:highlight w:val="none"/>
                <w14:textFill>
                  <w14:solidFill>
                    <w14:schemeClr w14:val="tx1"/>
                  </w14:solidFill>
                </w14:textFill>
              </w:rPr>
            </w:pPr>
          </w:p>
        </w:tc>
        <w:tc>
          <w:tcPr>
            <w:tcW w:w="851" w:type="dxa"/>
            <w:vAlign w:val="center"/>
          </w:tcPr>
          <w:p w14:paraId="7D921E06">
            <w:pPr>
              <w:jc w:val="center"/>
              <w:rPr>
                <w:rFonts w:ascii="宋体" w:hAnsi="宋体"/>
                <w:color w:val="000000" w:themeColor="text1"/>
                <w:szCs w:val="21"/>
                <w:highlight w:val="none"/>
                <w14:textFill>
                  <w14:solidFill>
                    <w14:schemeClr w14:val="tx1"/>
                  </w14:solidFill>
                </w14:textFill>
              </w:rPr>
            </w:pPr>
          </w:p>
        </w:tc>
        <w:tc>
          <w:tcPr>
            <w:tcW w:w="1044" w:type="dxa"/>
            <w:vAlign w:val="center"/>
          </w:tcPr>
          <w:p w14:paraId="3C3CF7E4">
            <w:pPr>
              <w:jc w:val="center"/>
              <w:rPr>
                <w:rFonts w:ascii="宋体" w:hAnsi="宋体"/>
                <w:color w:val="000000" w:themeColor="text1"/>
                <w:szCs w:val="21"/>
                <w:highlight w:val="none"/>
                <w14:textFill>
                  <w14:solidFill>
                    <w14:schemeClr w14:val="tx1"/>
                  </w14:solidFill>
                </w14:textFill>
              </w:rPr>
            </w:pPr>
          </w:p>
        </w:tc>
        <w:tc>
          <w:tcPr>
            <w:tcW w:w="992" w:type="dxa"/>
            <w:vAlign w:val="center"/>
          </w:tcPr>
          <w:p w14:paraId="2DCDA631">
            <w:pPr>
              <w:jc w:val="center"/>
              <w:rPr>
                <w:rFonts w:ascii="宋体" w:hAnsi="宋体"/>
                <w:color w:val="000000" w:themeColor="text1"/>
                <w:szCs w:val="21"/>
                <w:highlight w:val="none"/>
                <w14:textFill>
                  <w14:solidFill>
                    <w14:schemeClr w14:val="tx1"/>
                  </w14:solidFill>
                </w14:textFill>
              </w:rPr>
            </w:pPr>
          </w:p>
        </w:tc>
        <w:tc>
          <w:tcPr>
            <w:tcW w:w="851" w:type="dxa"/>
            <w:vAlign w:val="center"/>
          </w:tcPr>
          <w:p w14:paraId="38C3D4D5">
            <w:pPr>
              <w:jc w:val="center"/>
              <w:rPr>
                <w:rFonts w:ascii="宋体" w:hAnsi="宋体"/>
                <w:color w:val="000000" w:themeColor="text1"/>
                <w:szCs w:val="21"/>
                <w:highlight w:val="none"/>
                <w14:textFill>
                  <w14:solidFill>
                    <w14:schemeClr w14:val="tx1"/>
                  </w14:solidFill>
                </w14:textFill>
              </w:rPr>
            </w:pPr>
          </w:p>
        </w:tc>
        <w:tc>
          <w:tcPr>
            <w:tcW w:w="1270" w:type="dxa"/>
            <w:vAlign w:val="center"/>
          </w:tcPr>
          <w:p w14:paraId="2DC78824">
            <w:pPr>
              <w:jc w:val="center"/>
              <w:rPr>
                <w:rFonts w:ascii="宋体" w:hAnsi="宋体"/>
                <w:color w:val="000000" w:themeColor="text1"/>
                <w:szCs w:val="21"/>
                <w:highlight w:val="none"/>
                <w14:textFill>
                  <w14:solidFill>
                    <w14:schemeClr w14:val="tx1"/>
                  </w14:solidFill>
                </w14:textFill>
              </w:rPr>
            </w:pPr>
          </w:p>
        </w:tc>
        <w:tc>
          <w:tcPr>
            <w:tcW w:w="850" w:type="dxa"/>
            <w:vAlign w:val="center"/>
          </w:tcPr>
          <w:p w14:paraId="218781EE">
            <w:pPr>
              <w:jc w:val="center"/>
              <w:rPr>
                <w:rFonts w:ascii="宋体" w:hAnsi="宋体"/>
                <w:color w:val="000000" w:themeColor="text1"/>
                <w:szCs w:val="21"/>
                <w:highlight w:val="none"/>
                <w14:textFill>
                  <w14:solidFill>
                    <w14:schemeClr w14:val="tx1"/>
                  </w14:solidFill>
                </w14:textFill>
              </w:rPr>
            </w:pPr>
          </w:p>
        </w:tc>
      </w:tr>
      <w:tr w14:paraId="0543E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08945CA9">
            <w:pPr>
              <w:jc w:val="center"/>
              <w:rPr>
                <w:rFonts w:ascii="宋体" w:hAnsi="宋体"/>
                <w:color w:val="000000" w:themeColor="text1"/>
                <w:szCs w:val="21"/>
                <w:highlight w:val="none"/>
                <w14:textFill>
                  <w14:solidFill>
                    <w14:schemeClr w14:val="tx1"/>
                  </w14:solidFill>
                </w14:textFill>
              </w:rPr>
            </w:pPr>
          </w:p>
        </w:tc>
        <w:tc>
          <w:tcPr>
            <w:tcW w:w="1276" w:type="dxa"/>
            <w:vAlign w:val="center"/>
          </w:tcPr>
          <w:p w14:paraId="7C2C43DE">
            <w:pPr>
              <w:jc w:val="center"/>
              <w:rPr>
                <w:rFonts w:ascii="宋体" w:hAnsi="宋体"/>
                <w:color w:val="000000" w:themeColor="text1"/>
                <w:szCs w:val="21"/>
                <w:highlight w:val="none"/>
                <w14:textFill>
                  <w14:solidFill>
                    <w14:schemeClr w14:val="tx1"/>
                  </w14:solidFill>
                </w14:textFill>
              </w:rPr>
            </w:pPr>
          </w:p>
        </w:tc>
        <w:tc>
          <w:tcPr>
            <w:tcW w:w="1418" w:type="dxa"/>
            <w:vAlign w:val="center"/>
          </w:tcPr>
          <w:p w14:paraId="2559A07C">
            <w:pPr>
              <w:jc w:val="center"/>
              <w:rPr>
                <w:rFonts w:ascii="宋体" w:hAnsi="宋体"/>
                <w:color w:val="000000" w:themeColor="text1"/>
                <w:szCs w:val="21"/>
                <w:highlight w:val="none"/>
                <w14:textFill>
                  <w14:solidFill>
                    <w14:schemeClr w14:val="tx1"/>
                  </w14:solidFill>
                </w14:textFill>
              </w:rPr>
            </w:pPr>
          </w:p>
        </w:tc>
        <w:tc>
          <w:tcPr>
            <w:tcW w:w="940" w:type="dxa"/>
            <w:vAlign w:val="center"/>
          </w:tcPr>
          <w:p w14:paraId="7089E0F2">
            <w:pPr>
              <w:jc w:val="center"/>
              <w:rPr>
                <w:rFonts w:ascii="宋体" w:hAnsi="宋体"/>
                <w:color w:val="000000" w:themeColor="text1"/>
                <w:szCs w:val="21"/>
                <w:highlight w:val="none"/>
                <w14:textFill>
                  <w14:solidFill>
                    <w14:schemeClr w14:val="tx1"/>
                  </w14:solidFill>
                </w14:textFill>
              </w:rPr>
            </w:pPr>
          </w:p>
        </w:tc>
        <w:tc>
          <w:tcPr>
            <w:tcW w:w="851" w:type="dxa"/>
            <w:vAlign w:val="center"/>
          </w:tcPr>
          <w:p w14:paraId="3DF5AEBF">
            <w:pPr>
              <w:jc w:val="center"/>
              <w:rPr>
                <w:rFonts w:ascii="宋体" w:hAnsi="宋体"/>
                <w:color w:val="000000" w:themeColor="text1"/>
                <w:szCs w:val="21"/>
                <w:highlight w:val="none"/>
                <w14:textFill>
                  <w14:solidFill>
                    <w14:schemeClr w14:val="tx1"/>
                  </w14:solidFill>
                </w14:textFill>
              </w:rPr>
            </w:pPr>
          </w:p>
        </w:tc>
        <w:tc>
          <w:tcPr>
            <w:tcW w:w="1044" w:type="dxa"/>
            <w:vAlign w:val="center"/>
          </w:tcPr>
          <w:p w14:paraId="2B80F8D4">
            <w:pPr>
              <w:jc w:val="center"/>
              <w:rPr>
                <w:rFonts w:ascii="宋体" w:hAnsi="宋体"/>
                <w:color w:val="000000" w:themeColor="text1"/>
                <w:szCs w:val="21"/>
                <w:highlight w:val="none"/>
                <w14:textFill>
                  <w14:solidFill>
                    <w14:schemeClr w14:val="tx1"/>
                  </w14:solidFill>
                </w14:textFill>
              </w:rPr>
            </w:pPr>
          </w:p>
        </w:tc>
        <w:tc>
          <w:tcPr>
            <w:tcW w:w="992" w:type="dxa"/>
            <w:vAlign w:val="center"/>
          </w:tcPr>
          <w:p w14:paraId="35FE6D12">
            <w:pPr>
              <w:jc w:val="center"/>
              <w:rPr>
                <w:rFonts w:ascii="宋体" w:hAnsi="宋体"/>
                <w:color w:val="000000" w:themeColor="text1"/>
                <w:szCs w:val="21"/>
                <w:highlight w:val="none"/>
                <w14:textFill>
                  <w14:solidFill>
                    <w14:schemeClr w14:val="tx1"/>
                  </w14:solidFill>
                </w14:textFill>
              </w:rPr>
            </w:pPr>
          </w:p>
        </w:tc>
        <w:tc>
          <w:tcPr>
            <w:tcW w:w="851" w:type="dxa"/>
            <w:vAlign w:val="center"/>
          </w:tcPr>
          <w:p w14:paraId="13F7B35F">
            <w:pPr>
              <w:jc w:val="center"/>
              <w:rPr>
                <w:rFonts w:ascii="宋体" w:hAnsi="宋体"/>
                <w:color w:val="000000" w:themeColor="text1"/>
                <w:szCs w:val="21"/>
                <w:highlight w:val="none"/>
                <w14:textFill>
                  <w14:solidFill>
                    <w14:schemeClr w14:val="tx1"/>
                  </w14:solidFill>
                </w14:textFill>
              </w:rPr>
            </w:pPr>
          </w:p>
        </w:tc>
        <w:tc>
          <w:tcPr>
            <w:tcW w:w="1270" w:type="dxa"/>
            <w:vAlign w:val="center"/>
          </w:tcPr>
          <w:p w14:paraId="1BA7EBF6">
            <w:pPr>
              <w:jc w:val="center"/>
              <w:rPr>
                <w:rFonts w:ascii="宋体" w:hAnsi="宋体"/>
                <w:color w:val="000000" w:themeColor="text1"/>
                <w:szCs w:val="21"/>
                <w:highlight w:val="none"/>
                <w14:textFill>
                  <w14:solidFill>
                    <w14:schemeClr w14:val="tx1"/>
                  </w14:solidFill>
                </w14:textFill>
              </w:rPr>
            </w:pPr>
          </w:p>
        </w:tc>
        <w:tc>
          <w:tcPr>
            <w:tcW w:w="850" w:type="dxa"/>
            <w:vAlign w:val="center"/>
          </w:tcPr>
          <w:p w14:paraId="1E03C154">
            <w:pPr>
              <w:jc w:val="center"/>
              <w:rPr>
                <w:rFonts w:ascii="宋体" w:hAnsi="宋体"/>
                <w:color w:val="000000" w:themeColor="text1"/>
                <w:szCs w:val="21"/>
                <w:highlight w:val="none"/>
                <w14:textFill>
                  <w14:solidFill>
                    <w14:schemeClr w14:val="tx1"/>
                  </w14:solidFill>
                </w14:textFill>
              </w:rPr>
            </w:pPr>
          </w:p>
        </w:tc>
      </w:tr>
      <w:tr w14:paraId="08633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35851591">
            <w:pPr>
              <w:jc w:val="center"/>
              <w:rPr>
                <w:rFonts w:ascii="宋体" w:hAnsi="宋体"/>
                <w:color w:val="000000" w:themeColor="text1"/>
                <w:szCs w:val="21"/>
                <w:highlight w:val="none"/>
                <w14:textFill>
                  <w14:solidFill>
                    <w14:schemeClr w14:val="tx1"/>
                  </w14:solidFill>
                </w14:textFill>
              </w:rPr>
            </w:pPr>
          </w:p>
        </w:tc>
        <w:tc>
          <w:tcPr>
            <w:tcW w:w="1276" w:type="dxa"/>
            <w:vAlign w:val="center"/>
          </w:tcPr>
          <w:p w14:paraId="544A94E7">
            <w:pPr>
              <w:jc w:val="center"/>
              <w:rPr>
                <w:rFonts w:ascii="宋体" w:hAnsi="宋体"/>
                <w:color w:val="000000" w:themeColor="text1"/>
                <w:szCs w:val="21"/>
                <w:highlight w:val="none"/>
                <w14:textFill>
                  <w14:solidFill>
                    <w14:schemeClr w14:val="tx1"/>
                  </w14:solidFill>
                </w14:textFill>
              </w:rPr>
            </w:pPr>
          </w:p>
        </w:tc>
        <w:tc>
          <w:tcPr>
            <w:tcW w:w="1418" w:type="dxa"/>
            <w:vAlign w:val="center"/>
          </w:tcPr>
          <w:p w14:paraId="4E7F57F9">
            <w:pPr>
              <w:jc w:val="center"/>
              <w:rPr>
                <w:rFonts w:ascii="宋体" w:hAnsi="宋体"/>
                <w:color w:val="000000" w:themeColor="text1"/>
                <w:szCs w:val="21"/>
                <w:highlight w:val="none"/>
                <w14:textFill>
                  <w14:solidFill>
                    <w14:schemeClr w14:val="tx1"/>
                  </w14:solidFill>
                </w14:textFill>
              </w:rPr>
            </w:pPr>
          </w:p>
        </w:tc>
        <w:tc>
          <w:tcPr>
            <w:tcW w:w="940" w:type="dxa"/>
            <w:vAlign w:val="center"/>
          </w:tcPr>
          <w:p w14:paraId="64342CAA">
            <w:pPr>
              <w:jc w:val="center"/>
              <w:rPr>
                <w:rFonts w:ascii="宋体" w:hAnsi="宋体"/>
                <w:color w:val="000000" w:themeColor="text1"/>
                <w:szCs w:val="21"/>
                <w:highlight w:val="none"/>
                <w14:textFill>
                  <w14:solidFill>
                    <w14:schemeClr w14:val="tx1"/>
                  </w14:solidFill>
                </w14:textFill>
              </w:rPr>
            </w:pPr>
          </w:p>
        </w:tc>
        <w:tc>
          <w:tcPr>
            <w:tcW w:w="851" w:type="dxa"/>
            <w:vAlign w:val="center"/>
          </w:tcPr>
          <w:p w14:paraId="0A8A980D">
            <w:pPr>
              <w:jc w:val="center"/>
              <w:rPr>
                <w:rFonts w:ascii="宋体" w:hAnsi="宋体"/>
                <w:color w:val="000000" w:themeColor="text1"/>
                <w:szCs w:val="21"/>
                <w:highlight w:val="none"/>
                <w14:textFill>
                  <w14:solidFill>
                    <w14:schemeClr w14:val="tx1"/>
                  </w14:solidFill>
                </w14:textFill>
              </w:rPr>
            </w:pPr>
          </w:p>
        </w:tc>
        <w:tc>
          <w:tcPr>
            <w:tcW w:w="1044" w:type="dxa"/>
            <w:vAlign w:val="center"/>
          </w:tcPr>
          <w:p w14:paraId="40B4E1DC">
            <w:pPr>
              <w:jc w:val="center"/>
              <w:rPr>
                <w:rFonts w:ascii="宋体" w:hAnsi="宋体"/>
                <w:color w:val="000000" w:themeColor="text1"/>
                <w:szCs w:val="21"/>
                <w:highlight w:val="none"/>
                <w14:textFill>
                  <w14:solidFill>
                    <w14:schemeClr w14:val="tx1"/>
                  </w14:solidFill>
                </w14:textFill>
              </w:rPr>
            </w:pPr>
          </w:p>
        </w:tc>
        <w:tc>
          <w:tcPr>
            <w:tcW w:w="992" w:type="dxa"/>
            <w:vAlign w:val="center"/>
          </w:tcPr>
          <w:p w14:paraId="6390D621">
            <w:pPr>
              <w:jc w:val="center"/>
              <w:rPr>
                <w:rFonts w:ascii="宋体" w:hAnsi="宋体"/>
                <w:color w:val="000000" w:themeColor="text1"/>
                <w:szCs w:val="21"/>
                <w:highlight w:val="none"/>
                <w14:textFill>
                  <w14:solidFill>
                    <w14:schemeClr w14:val="tx1"/>
                  </w14:solidFill>
                </w14:textFill>
              </w:rPr>
            </w:pPr>
          </w:p>
        </w:tc>
        <w:tc>
          <w:tcPr>
            <w:tcW w:w="851" w:type="dxa"/>
            <w:vAlign w:val="center"/>
          </w:tcPr>
          <w:p w14:paraId="7B522E99">
            <w:pPr>
              <w:jc w:val="center"/>
              <w:rPr>
                <w:rFonts w:ascii="宋体" w:hAnsi="宋体"/>
                <w:color w:val="000000" w:themeColor="text1"/>
                <w:szCs w:val="21"/>
                <w:highlight w:val="none"/>
                <w14:textFill>
                  <w14:solidFill>
                    <w14:schemeClr w14:val="tx1"/>
                  </w14:solidFill>
                </w14:textFill>
              </w:rPr>
            </w:pPr>
          </w:p>
        </w:tc>
        <w:tc>
          <w:tcPr>
            <w:tcW w:w="1270" w:type="dxa"/>
            <w:vAlign w:val="center"/>
          </w:tcPr>
          <w:p w14:paraId="02E6DD84">
            <w:pPr>
              <w:jc w:val="center"/>
              <w:rPr>
                <w:rFonts w:ascii="宋体" w:hAnsi="宋体"/>
                <w:color w:val="000000" w:themeColor="text1"/>
                <w:szCs w:val="21"/>
                <w:highlight w:val="none"/>
                <w14:textFill>
                  <w14:solidFill>
                    <w14:schemeClr w14:val="tx1"/>
                  </w14:solidFill>
                </w14:textFill>
              </w:rPr>
            </w:pPr>
          </w:p>
        </w:tc>
        <w:tc>
          <w:tcPr>
            <w:tcW w:w="850" w:type="dxa"/>
            <w:vAlign w:val="center"/>
          </w:tcPr>
          <w:p w14:paraId="16F5A957">
            <w:pPr>
              <w:jc w:val="center"/>
              <w:rPr>
                <w:rFonts w:ascii="宋体" w:hAnsi="宋体"/>
                <w:color w:val="000000" w:themeColor="text1"/>
                <w:szCs w:val="21"/>
                <w:highlight w:val="none"/>
                <w14:textFill>
                  <w14:solidFill>
                    <w14:schemeClr w14:val="tx1"/>
                  </w14:solidFill>
                </w14:textFill>
              </w:rPr>
            </w:pPr>
          </w:p>
        </w:tc>
      </w:tr>
    </w:tbl>
    <w:p w14:paraId="2AB8E0B3">
      <w:pPr>
        <w:pStyle w:val="5"/>
        <w:ind w:firstLine="0" w:firstLineChars="0"/>
        <w:rPr>
          <w:b/>
          <w:color w:val="000000" w:themeColor="text1"/>
          <w:highlight w:val="none"/>
          <w14:textFill>
            <w14:solidFill>
              <w14:schemeClr w14:val="tx1"/>
            </w14:solidFill>
          </w14:textFill>
        </w:rPr>
      </w:pPr>
    </w:p>
    <w:p w14:paraId="3A31EEF6">
      <w:pPr>
        <w:pStyle w:val="5"/>
        <w:ind w:firstLine="21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24223428">
      <w:pPr>
        <w:adjustRightInd w:val="0"/>
        <w:snapToGrid w:val="0"/>
        <w:spacing w:line="480" w:lineRule="exact"/>
        <w:rPr>
          <w:rFonts w:ascii="黑体" w:hAnsi="宋体" w:eastAsia="黑体"/>
          <w:b/>
          <w:color w:val="000000" w:themeColor="text1"/>
          <w:sz w:val="24"/>
          <w:highlight w:val="none"/>
          <w14:textFill>
            <w14:solidFill>
              <w14:schemeClr w14:val="tx1"/>
            </w14:solidFill>
          </w14:textFill>
        </w:rPr>
      </w:pPr>
      <w:r>
        <w:rPr>
          <w:rFonts w:hint="eastAsia" w:ascii="黑体" w:hAnsi="宋体" w:eastAsia="黑体"/>
          <w:b/>
          <w:color w:val="000000" w:themeColor="text1"/>
          <w:sz w:val="24"/>
          <w:highlight w:val="none"/>
          <w14:textFill>
            <w14:solidFill>
              <w14:schemeClr w14:val="tx1"/>
            </w14:solidFill>
          </w14:textFill>
        </w:rPr>
        <w:t>附件</w:t>
      </w:r>
      <w:r>
        <w:rPr>
          <w:rFonts w:ascii="黑体" w:hAnsi="宋体" w:eastAsia="黑体"/>
          <w:b/>
          <w:color w:val="000000" w:themeColor="text1"/>
          <w:sz w:val="24"/>
          <w:highlight w:val="none"/>
          <w14:textFill>
            <w14:solidFill>
              <w14:schemeClr w14:val="tx1"/>
            </w14:solidFill>
          </w14:textFill>
        </w:rPr>
        <w:t>2</w:t>
      </w:r>
      <w:r>
        <w:rPr>
          <w:rFonts w:hint="eastAsia" w:ascii="黑体" w:hAnsi="宋体" w:eastAsia="黑体"/>
          <w:b/>
          <w:color w:val="000000" w:themeColor="text1"/>
          <w:sz w:val="24"/>
          <w:highlight w:val="none"/>
          <w14:textFill>
            <w14:solidFill>
              <w14:schemeClr w14:val="tx1"/>
            </w14:solidFill>
          </w14:textFill>
        </w:rPr>
        <w:t>：</w:t>
      </w:r>
    </w:p>
    <w:p w14:paraId="6FE33244">
      <w:pPr>
        <w:jc w:val="center"/>
        <w:rPr>
          <w:rFonts w:ascii="黑体" w:hAnsi="宋体" w:eastAsia="黑体"/>
          <w:b/>
          <w:color w:val="000000" w:themeColor="text1"/>
          <w:sz w:val="24"/>
          <w:highlight w:val="none"/>
          <w14:textFill>
            <w14:solidFill>
              <w14:schemeClr w14:val="tx1"/>
            </w14:solidFill>
          </w14:textFill>
        </w:rPr>
      </w:pPr>
      <w:r>
        <w:rPr>
          <w:rFonts w:hint="eastAsia" w:ascii="黑体" w:hAnsi="宋体" w:eastAsia="黑体"/>
          <w:b/>
          <w:color w:val="000000" w:themeColor="text1"/>
          <w:sz w:val="24"/>
          <w:highlight w:val="none"/>
          <w14:textFill>
            <w14:solidFill>
              <w14:schemeClr w14:val="tx1"/>
            </w14:solidFill>
          </w14:textFill>
        </w:rPr>
        <w:t>工程质量保修书</w:t>
      </w:r>
    </w:p>
    <w:p w14:paraId="6EE69500">
      <w:pPr>
        <w:adjustRightInd w:val="0"/>
        <w:snapToGrid w:val="0"/>
        <w:spacing w:line="360" w:lineRule="auto"/>
        <w:ind w:firstLine="420" w:firstLineChars="200"/>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发包人：（</w:t>
      </w:r>
      <w:r>
        <w:rPr>
          <w:rFonts w:hint="eastAsia" w:ascii="宋体" w:hAnsi="宋体"/>
          <w:color w:val="000000" w:themeColor="text1"/>
          <w:szCs w:val="21"/>
          <w:highlight w:val="none"/>
          <w14:textFill>
            <w14:solidFill>
              <w14:schemeClr w14:val="tx1"/>
            </w14:solidFill>
          </w14:textFill>
        </w:rPr>
        <w:t>招标人</w:t>
      </w:r>
      <w:r>
        <w:rPr>
          <w:rFonts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p>
    <w:p w14:paraId="295E3E78">
      <w:pPr>
        <w:adjustRightInd w:val="0"/>
        <w:snapToGrid w:val="0"/>
        <w:spacing w:line="360" w:lineRule="auto"/>
        <w:ind w:firstLine="420" w:firstLineChars="200"/>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承包人：（</w:t>
      </w:r>
      <w:r>
        <w:rPr>
          <w:rFonts w:hint="eastAsia" w:ascii="宋体" w:hAnsi="宋体"/>
          <w:color w:val="000000" w:themeColor="text1"/>
          <w:szCs w:val="21"/>
          <w:highlight w:val="none"/>
          <w14:textFill>
            <w14:solidFill>
              <w14:schemeClr w14:val="tx1"/>
            </w14:solidFill>
          </w14:textFill>
        </w:rPr>
        <w:t>供应商</w:t>
      </w:r>
      <w:r>
        <w:rPr>
          <w:rFonts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p>
    <w:p w14:paraId="10AAEB64">
      <w:pPr>
        <w:adjustRightInd w:val="0"/>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为保证</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（工程名称）</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在合理使用期限内正常使用，发包人和承包人根据</w:t>
      </w:r>
      <w:r>
        <w:rPr>
          <w:rFonts w:hint="eastAsia" w:ascii="宋体" w:hAnsi="宋体"/>
          <w:color w:val="000000" w:themeColor="text1"/>
          <w:szCs w:val="21"/>
          <w:highlight w:val="none"/>
          <w14:textFill>
            <w14:solidFill>
              <w14:schemeClr w14:val="tx1"/>
            </w14:solidFill>
          </w14:textFill>
        </w:rPr>
        <w:t>《中华人民共和国政府采购法》</w:t>
      </w:r>
      <w:r>
        <w:rPr>
          <w:rFonts w:ascii="宋体" w:hAnsi="宋体"/>
          <w:color w:val="000000" w:themeColor="text1"/>
          <w:szCs w:val="21"/>
          <w:highlight w:val="none"/>
          <w14:textFill>
            <w14:solidFill>
              <w14:schemeClr w14:val="tx1"/>
            </w14:solidFill>
          </w14:textFill>
        </w:rPr>
        <w:t>《中华人民共和国建筑法》《建设工程质量管理条例》，经协商一致，签订工程质量保修书，承包人在质量保修期内应按照有关规定及双方约定承担工程质量保修责任。</w:t>
      </w:r>
    </w:p>
    <w:p w14:paraId="6FDFDAD2">
      <w:pPr>
        <w:adjustRightInd w:val="0"/>
        <w:snapToGrid w:val="0"/>
        <w:spacing w:line="360" w:lineRule="auto"/>
        <w:ind w:firstLine="422" w:firstLineChars="200"/>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1.质量保修范围</w:t>
      </w:r>
    </w:p>
    <w:p w14:paraId="7FE98F91">
      <w:pPr>
        <w:adjustRightInd w:val="0"/>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质量保修范围包括地基基础工程、主体结构工程、屋面防水工程、有防水要求的卫生间、房间、外墙面的防渗漏工程、电气管线工程、给排水管道工程、设备安装工程、供热、供冷系统工程、装饰装修工程以及双方约</w:t>
      </w:r>
      <w:r>
        <w:rPr>
          <w:rFonts w:hint="eastAsia" w:ascii="宋体" w:hAnsi="宋体"/>
          <w:color w:val="000000" w:themeColor="text1"/>
          <w:szCs w:val="21"/>
          <w:highlight w:val="none"/>
          <w:lang w:eastAsia="zh-CN"/>
          <w14:textFill>
            <w14:solidFill>
              <w14:schemeClr w14:val="tx1"/>
            </w14:solidFill>
          </w14:textFill>
        </w:rPr>
        <w:t>定的</w:t>
      </w:r>
      <w:r>
        <w:rPr>
          <w:rFonts w:ascii="宋体" w:hAnsi="宋体"/>
          <w:color w:val="000000" w:themeColor="text1"/>
          <w:szCs w:val="21"/>
          <w:highlight w:val="none"/>
          <w14:textFill>
            <w14:solidFill>
              <w14:schemeClr w14:val="tx1"/>
            </w14:solidFill>
          </w14:textFill>
        </w:rPr>
        <w:t>其他项目。具体质量保修范围，双方约定如下：</w:t>
      </w:r>
    </w:p>
    <w:p w14:paraId="17A995CC">
      <w:pPr>
        <w:adjustRightInd w:val="0"/>
        <w:snapToGrid w:val="0"/>
        <w:spacing w:line="360" w:lineRule="auto"/>
        <w:ind w:firstLine="420" w:firstLineChars="200"/>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u w:val="single"/>
          <w14:textFill>
            <w14:solidFill>
              <w14:schemeClr w14:val="tx1"/>
            </w14:solidFill>
          </w14:textFill>
        </w:rPr>
        <w:t xml:space="preserve">                        </w:t>
      </w:r>
    </w:p>
    <w:p w14:paraId="2DE7959D">
      <w:pPr>
        <w:adjustRightInd w:val="0"/>
        <w:snapToGrid w:val="0"/>
        <w:spacing w:line="360" w:lineRule="auto"/>
        <w:ind w:firstLine="420" w:firstLineChars="200"/>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u w:val="single"/>
          <w14:textFill>
            <w14:solidFill>
              <w14:schemeClr w14:val="tx1"/>
            </w14:solidFill>
          </w14:textFill>
        </w:rPr>
        <w:t xml:space="preserve">                        </w:t>
      </w:r>
    </w:p>
    <w:p w14:paraId="44EDFB39">
      <w:pPr>
        <w:adjustRightInd w:val="0"/>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u w:val="single"/>
          <w14:textFill>
            <w14:solidFill>
              <w14:schemeClr w14:val="tx1"/>
            </w14:solidFill>
          </w14:textFill>
        </w:rPr>
        <w:t xml:space="preserve">                         </w:t>
      </w:r>
    </w:p>
    <w:p w14:paraId="5CADB457">
      <w:pPr>
        <w:adjustRightInd w:val="0"/>
        <w:snapToGrid w:val="0"/>
        <w:spacing w:line="360" w:lineRule="auto"/>
        <w:ind w:firstLine="422" w:firstLineChars="200"/>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2. 质量保修期</w:t>
      </w:r>
    </w:p>
    <w:p w14:paraId="5246E455">
      <w:pPr>
        <w:adjustRightInd w:val="0"/>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 xml:space="preserve"> 双方根据《建设工程质量管理条例》及有关规定，约定本工程质量保修期如下：</w:t>
      </w:r>
    </w:p>
    <w:p w14:paraId="73D910CA">
      <w:pPr>
        <w:adjustRightInd w:val="0"/>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（1）地基基础工程、主体结构工程为设计文件规定的合理使用年限；</w:t>
      </w:r>
    </w:p>
    <w:p w14:paraId="6A0F107C">
      <w:pPr>
        <w:adjustRightInd w:val="0"/>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（2）屋面防水工程、有防水要求的卫生间、房间和外墙面的防渗漏工程为：</w:t>
      </w:r>
      <w:r>
        <w:rPr>
          <w:rFonts w:hint="eastAsia" w:ascii="宋体" w:hAnsi="宋体"/>
          <w:color w:val="000000" w:themeColor="text1"/>
          <w:szCs w:val="21"/>
          <w:highlight w:val="none"/>
          <w:u w:val="single"/>
          <w14:textFill>
            <w14:solidFill>
              <w14:schemeClr w14:val="tx1"/>
            </w14:solidFill>
          </w14:textFill>
        </w:rPr>
        <w:t>5</w:t>
      </w:r>
      <w:r>
        <w:rPr>
          <w:rFonts w:ascii="宋体" w:hAnsi="宋体"/>
          <w:color w:val="000000" w:themeColor="text1"/>
          <w:szCs w:val="21"/>
          <w:highlight w:val="none"/>
          <w14:textFill>
            <w14:solidFill>
              <w14:schemeClr w14:val="tx1"/>
            </w14:solidFill>
          </w14:textFill>
        </w:rPr>
        <w:t>年；</w:t>
      </w:r>
    </w:p>
    <w:p w14:paraId="2BC8AF53">
      <w:pPr>
        <w:adjustRightInd w:val="0"/>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（3）电气管线工程、</w:t>
      </w:r>
      <w:r>
        <w:rPr>
          <w:rFonts w:hint="eastAsia" w:ascii="宋体" w:hAnsi="宋体"/>
          <w:color w:val="000000" w:themeColor="text1"/>
          <w:szCs w:val="21"/>
          <w:highlight w:val="none"/>
          <w14:textFill>
            <w14:solidFill>
              <w14:schemeClr w14:val="tx1"/>
            </w14:solidFill>
          </w14:textFill>
        </w:rPr>
        <w:t>给排水管道</w:t>
      </w:r>
      <w:r>
        <w:rPr>
          <w:rFonts w:ascii="宋体" w:hAnsi="宋体"/>
          <w:color w:val="000000" w:themeColor="text1"/>
          <w:szCs w:val="21"/>
          <w:highlight w:val="none"/>
          <w14:textFill>
            <w14:solidFill>
              <w14:schemeClr w14:val="tx1"/>
            </w14:solidFill>
          </w14:textFill>
        </w:rPr>
        <w:t>、设备安装工程为：</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2</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年；</w:t>
      </w:r>
    </w:p>
    <w:p w14:paraId="554BFAE7">
      <w:pPr>
        <w:adjustRightInd w:val="0"/>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（4）供热、供冷系统工程为：</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2</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个采暖期、供冷期；</w:t>
      </w:r>
    </w:p>
    <w:p w14:paraId="3E59A5CE">
      <w:pPr>
        <w:adjustRightInd w:val="0"/>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（5）装饰装修工程为</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2</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年；</w:t>
      </w:r>
    </w:p>
    <w:p w14:paraId="47163C40">
      <w:pPr>
        <w:adjustRightInd w:val="0"/>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（6）其他项目</w:t>
      </w:r>
      <w:r>
        <w:rPr>
          <w:rFonts w:hint="eastAsia" w:ascii="宋体" w:hAnsi="宋体"/>
          <w:color w:val="000000" w:themeColor="text1"/>
          <w:szCs w:val="21"/>
          <w:highlight w:val="none"/>
          <w14:textFill>
            <w14:solidFill>
              <w14:schemeClr w14:val="tx1"/>
            </w14:solidFill>
          </w14:textFill>
        </w:rPr>
        <w:t>为</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2</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年。</w:t>
      </w:r>
    </w:p>
    <w:p w14:paraId="22D5A58F">
      <w:pPr>
        <w:adjustRightInd w:val="0"/>
        <w:snapToGrid w:val="0"/>
        <w:spacing w:line="360" w:lineRule="auto"/>
        <w:ind w:firstLine="422" w:firstLineChars="200"/>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3. 质量保修责任</w:t>
      </w:r>
    </w:p>
    <w:p w14:paraId="6E4B07AA">
      <w:pPr>
        <w:adjustRightInd w:val="0"/>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3.1 属于保修范围的项目，承包人应在接到通知后的7天内派人保修，承包人不在约定期限内派人保修，发包人可自行或指派第三方保修。</w:t>
      </w:r>
    </w:p>
    <w:p w14:paraId="39C9E8F0">
      <w:pPr>
        <w:adjustRightInd w:val="0"/>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3.2 发生紧急抢修事故的，承包人在接到通知后，应立即到达事故现场抢修。</w:t>
      </w:r>
    </w:p>
    <w:p w14:paraId="6283151A">
      <w:pPr>
        <w:adjustRightInd w:val="0"/>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3.3 在国家规定的工程合理使用期限内，承包人应确保地基基础工程和主体结构的安全和质量。凡</w:t>
      </w:r>
      <w:r>
        <w:rPr>
          <w:rFonts w:hint="eastAsia" w:ascii="宋体" w:hAnsi="宋体"/>
          <w:color w:val="000000" w:themeColor="text1"/>
          <w:szCs w:val="21"/>
          <w:highlight w:val="none"/>
          <w:lang w:eastAsia="zh-CN"/>
          <w14:textFill>
            <w14:solidFill>
              <w14:schemeClr w14:val="tx1"/>
            </w14:solidFill>
          </w14:textFill>
        </w:rPr>
        <w:t>出现</w:t>
      </w:r>
      <w:r>
        <w:rPr>
          <w:rFonts w:ascii="宋体" w:hAnsi="宋体"/>
          <w:color w:val="000000" w:themeColor="text1"/>
          <w:szCs w:val="21"/>
          <w:highlight w:val="none"/>
          <w14:textFill>
            <w14:solidFill>
              <w14:schemeClr w14:val="tx1"/>
            </w14:solidFill>
          </w14:textFill>
        </w:rPr>
        <w:t>质量问题，应立即报告当地建设行政主管部门，由设计单位提出保修方案，承包人应立即实施保修。</w:t>
      </w:r>
    </w:p>
    <w:p w14:paraId="2F9F358A">
      <w:pPr>
        <w:adjustRightInd w:val="0"/>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3.4 质量保修完成后，由发包人组织验收。</w:t>
      </w:r>
    </w:p>
    <w:p w14:paraId="45BE85F0">
      <w:pPr>
        <w:adjustRightInd w:val="0"/>
        <w:snapToGrid w:val="0"/>
        <w:spacing w:line="360" w:lineRule="auto"/>
        <w:ind w:firstLine="422" w:firstLineChars="200"/>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4. 质量保修费用</w:t>
      </w:r>
    </w:p>
    <w:p w14:paraId="1F5BFDAD">
      <w:pPr>
        <w:adjustRightInd w:val="0"/>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质量保修费用及相关的损害赔偿费，由造成质量缺陷的责任方承担。</w:t>
      </w:r>
    </w:p>
    <w:p w14:paraId="24792E6D">
      <w:pPr>
        <w:adjustRightInd w:val="0"/>
        <w:snapToGrid w:val="0"/>
        <w:spacing w:line="360" w:lineRule="auto"/>
        <w:ind w:firstLine="422" w:firstLineChars="200"/>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5. 质量保证金</w:t>
      </w:r>
    </w:p>
    <w:p w14:paraId="23D6AA55">
      <w:pPr>
        <w:adjustRightInd w:val="0"/>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质量保证金的使用、约定、支付、返还与本合同的质量保证金赋予的约定一致。</w:t>
      </w:r>
    </w:p>
    <w:p w14:paraId="04A78F35">
      <w:pPr>
        <w:adjustRightInd w:val="0"/>
        <w:snapToGrid w:val="0"/>
        <w:spacing w:line="360" w:lineRule="auto"/>
        <w:ind w:firstLine="422" w:firstLineChars="200"/>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6 .其他</w:t>
      </w:r>
    </w:p>
    <w:p w14:paraId="26749010">
      <w:pPr>
        <w:adjustRightInd w:val="0"/>
        <w:snapToGrid w:val="0"/>
        <w:spacing w:line="360" w:lineRule="auto"/>
        <w:ind w:firstLine="420" w:firstLineChars="200"/>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6.1 双方约定的</w:t>
      </w:r>
      <w:r>
        <w:rPr>
          <w:rFonts w:hint="eastAsia" w:ascii="宋体" w:hAnsi="宋体"/>
          <w:color w:val="000000" w:themeColor="text1"/>
          <w:szCs w:val="21"/>
          <w:highlight w:val="none"/>
          <w:lang w:eastAsia="zh-CN"/>
          <w14:textFill>
            <w14:solidFill>
              <w14:schemeClr w14:val="tx1"/>
            </w14:solidFill>
          </w14:textFill>
        </w:rPr>
        <w:t>其他</w:t>
      </w:r>
      <w:r>
        <w:rPr>
          <w:rFonts w:ascii="宋体" w:hAnsi="宋体"/>
          <w:color w:val="000000" w:themeColor="text1"/>
          <w:szCs w:val="21"/>
          <w:highlight w:val="none"/>
          <w14:textFill>
            <w14:solidFill>
              <w14:schemeClr w14:val="tx1"/>
            </w14:solidFill>
          </w14:textFill>
        </w:rPr>
        <w:t>工程质量保修事项：</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p>
    <w:p w14:paraId="2DFAEB49">
      <w:pPr>
        <w:adjustRightInd w:val="0"/>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6.2 本工程质量保修书，由发包人承包人在工程竣工验收前签署，作为合同附件，其有效期限至保修期满。</w:t>
      </w:r>
    </w:p>
    <w:p w14:paraId="4CBF3939">
      <w:pPr>
        <w:adjustRightInd w:val="0"/>
        <w:snapToGrid w:val="0"/>
        <w:spacing w:line="360" w:lineRule="auto"/>
        <w:ind w:firstLine="480"/>
        <w:rPr>
          <w:rFonts w:ascii="宋体" w:hAnsi="宋体"/>
          <w:color w:val="000000" w:themeColor="text1"/>
          <w:szCs w:val="21"/>
          <w:highlight w:val="none"/>
          <w14:textFill>
            <w14:solidFill>
              <w14:schemeClr w14:val="tx1"/>
            </w14:solidFill>
          </w14:textFill>
        </w:rPr>
      </w:pPr>
    </w:p>
    <w:p w14:paraId="06EA2ECB">
      <w:pPr>
        <w:adjustRightInd w:val="0"/>
        <w:snapToGrid w:val="0"/>
        <w:spacing w:line="360" w:lineRule="auto"/>
        <w:ind w:firstLine="480"/>
        <w:rPr>
          <w:rFonts w:ascii="宋体" w:hAnsi="宋体"/>
          <w:color w:val="000000" w:themeColor="text1"/>
          <w:szCs w:val="21"/>
          <w:highlight w:val="none"/>
          <w14:textFill>
            <w14:solidFill>
              <w14:schemeClr w14:val="tx1"/>
            </w14:solidFill>
          </w14:textFill>
        </w:rPr>
      </w:pPr>
    </w:p>
    <w:p w14:paraId="6A35E62D">
      <w:pPr>
        <w:adjustRightInd w:val="0"/>
        <w:snapToGrid w:val="0"/>
        <w:spacing w:line="480" w:lineRule="auto"/>
        <w:ind w:firstLine="420" w:firstLineChars="200"/>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发包人（公章）：</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承包人（公章）：</w:t>
      </w:r>
      <w:r>
        <w:rPr>
          <w:rFonts w:hint="eastAsia" w:ascii="宋体" w:hAnsi="宋体"/>
          <w:color w:val="000000" w:themeColor="text1"/>
          <w:szCs w:val="21"/>
          <w:highlight w:val="none"/>
          <w:u w:val="single"/>
          <w14:textFill>
            <w14:solidFill>
              <w14:schemeClr w14:val="tx1"/>
            </w14:solidFill>
          </w14:textFill>
        </w:rPr>
        <w:t xml:space="preserve">                    </w:t>
      </w:r>
    </w:p>
    <w:p w14:paraId="6D47F8D5">
      <w:pPr>
        <w:adjustRightInd w:val="0"/>
        <w:snapToGrid w:val="0"/>
        <w:spacing w:line="480" w:lineRule="auto"/>
        <w:ind w:firstLine="420" w:firstLineChars="200"/>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法定代表人（签名）：</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法定代表人（签名）：</w:t>
      </w:r>
      <w:r>
        <w:rPr>
          <w:rFonts w:hint="eastAsia" w:ascii="宋体" w:hAnsi="宋体"/>
          <w:color w:val="000000" w:themeColor="text1"/>
          <w:szCs w:val="21"/>
          <w:highlight w:val="none"/>
          <w:u w:val="single"/>
          <w14:textFill>
            <w14:solidFill>
              <w14:schemeClr w14:val="tx1"/>
            </w14:solidFill>
          </w14:textFill>
        </w:rPr>
        <w:t xml:space="preserve">                   </w:t>
      </w:r>
    </w:p>
    <w:p w14:paraId="2874D202">
      <w:pPr>
        <w:adjustRightInd w:val="0"/>
        <w:snapToGrid w:val="0"/>
        <w:spacing w:line="480" w:lineRule="auto"/>
        <w:ind w:firstLine="420" w:firstLineChars="200"/>
        <w:rPr>
          <w:rFonts w:ascii="宋体" w:hAnsi="宋体"/>
          <w:b/>
          <w:color w:val="000000" w:themeColor="text1"/>
          <w:szCs w:val="21"/>
          <w:highlight w:val="none"/>
          <w14:textFill>
            <w14:solidFill>
              <w14:schemeClr w14:val="tx1"/>
            </w14:solidFill>
          </w14:textFill>
        </w:rPr>
      </w:pP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月</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日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月</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日</w:t>
      </w:r>
    </w:p>
    <w:p w14:paraId="4795BDFA">
      <w:pPr>
        <w:widowControl/>
        <w:jc w:val="left"/>
        <w:rPr>
          <w:b/>
          <w:color w:val="000000" w:themeColor="text1"/>
          <w:highlight w:val="none"/>
          <w14:textFill>
            <w14:solidFill>
              <w14:schemeClr w14:val="tx1"/>
            </w14:solidFill>
          </w14:textFill>
        </w:rPr>
      </w:pPr>
      <w:r>
        <w:rPr>
          <w:b/>
          <w:color w:val="000000" w:themeColor="text1"/>
          <w:highlight w:val="none"/>
          <w14:textFill>
            <w14:solidFill>
              <w14:schemeClr w14:val="tx1"/>
            </w14:solidFill>
          </w14:textFill>
        </w:rPr>
        <w:br w:type="page"/>
      </w:r>
    </w:p>
    <w:p w14:paraId="54E9F90B">
      <w:pPr>
        <w:adjustRightInd w:val="0"/>
        <w:snapToGrid w:val="0"/>
        <w:spacing w:line="480" w:lineRule="exact"/>
        <w:rPr>
          <w:rFonts w:ascii="黑体" w:hAnsi="宋体" w:eastAsia="黑体"/>
          <w:b/>
          <w:color w:val="000000" w:themeColor="text1"/>
          <w:sz w:val="24"/>
          <w:highlight w:val="none"/>
          <w14:textFill>
            <w14:solidFill>
              <w14:schemeClr w14:val="tx1"/>
            </w14:solidFill>
          </w14:textFill>
        </w:rPr>
      </w:pPr>
      <w:r>
        <w:rPr>
          <w:rFonts w:hint="eastAsia" w:ascii="黑体" w:hAnsi="宋体" w:eastAsia="黑体"/>
          <w:b/>
          <w:color w:val="000000" w:themeColor="text1"/>
          <w:sz w:val="24"/>
          <w:highlight w:val="none"/>
          <w14:textFill>
            <w14:solidFill>
              <w14:schemeClr w14:val="tx1"/>
            </w14:solidFill>
          </w14:textFill>
        </w:rPr>
        <w:t>附件3：</w:t>
      </w:r>
    </w:p>
    <w:p w14:paraId="3A96D94C">
      <w:pPr>
        <w:jc w:val="center"/>
        <w:rPr>
          <w:rFonts w:ascii="黑体" w:hAnsi="宋体" w:eastAsia="黑体"/>
          <w:b/>
          <w:color w:val="000000" w:themeColor="text1"/>
          <w:sz w:val="24"/>
          <w:highlight w:val="none"/>
          <w14:textFill>
            <w14:solidFill>
              <w14:schemeClr w14:val="tx1"/>
            </w14:solidFill>
          </w14:textFill>
        </w:rPr>
      </w:pPr>
      <w:r>
        <w:rPr>
          <w:rFonts w:hint="eastAsia" w:ascii="黑体" w:hAnsi="宋体" w:eastAsia="黑体"/>
          <w:b/>
          <w:color w:val="000000" w:themeColor="text1"/>
          <w:sz w:val="24"/>
          <w:highlight w:val="none"/>
          <w14:textFill>
            <w14:solidFill>
              <w14:schemeClr w14:val="tx1"/>
            </w14:solidFill>
          </w14:textFill>
        </w:rPr>
        <w:t>主要建设工程文件目录</w:t>
      </w:r>
    </w:p>
    <w:tbl>
      <w:tblPr>
        <w:tblStyle w:val="6"/>
        <w:tblW w:w="90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6028F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71" w:hRule="atLeast"/>
          <w:jc w:val="center"/>
        </w:trPr>
        <w:tc>
          <w:tcPr>
            <w:tcW w:w="1953" w:type="dxa"/>
            <w:vAlign w:val="center"/>
          </w:tcPr>
          <w:p w14:paraId="135B6113">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文件名称</w:t>
            </w:r>
          </w:p>
        </w:tc>
        <w:tc>
          <w:tcPr>
            <w:tcW w:w="1276" w:type="dxa"/>
            <w:vAlign w:val="center"/>
          </w:tcPr>
          <w:p w14:paraId="065DD7EC">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套数</w:t>
            </w:r>
          </w:p>
        </w:tc>
        <w:tc>
          <w:tcPr>
            <w:tcW w:w="1450" w:type="dxa"/>
            <w:vAlign w:val="center"/>
          </w:tcPr>
          <w:p w14:paraId="14DD9375">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费用</w:t>
            </w:r>
            <w:r>
              <w:rPr>
                <w:rFonts w:hint="eastAsia" w:ascii="宋体" w:hAnsi="宋体"/>
                <w:b/>
                <w:color w:val="000000" w:themeColor="text1"/>
                <w:szCs w:val="21"/>
                <w:highlight w:val="none"/>
                <w14:textFill>
                  <w14:solidFill>
                    <w14:schemeClr w14:val="tx1"/>
                  </w14:solidFill>
                </w14:textFill>
              </w:rPr>
              <w:t>（元）</w:t>
            </w:r>
          </w:p>
        </w:tc>
        <w:tc>
          <w:tcPr>
            <w:tcW w:w="1243" w:type="dxa"/>
            <w:vAlign w:val="center"/>
          </w:tcPr>
          <w:p w14:paraId="4071AD83">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质量</w:t>
            </w:r>
          </w:p>
        </w:tc>
        <w:tc>
          <w:tcPr>
            <w:tcW w:w="1450" w:type="dxa"/>
            <w:vAlign w:val="center"/>
          </w:tcPr>
          <w:p w14:paraId="527D4B08">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移交时间</w:t>
            </w:r>
          </w:p>
        </w:tc>
        <w:tc>
          <w:tcPr>
            <w:tcW w:w="1667" w:type="dxa"/>
            <w:vAlign w:val="center"/>
          </w:tcPr>
          <w:p w14:paraId="08FE159A">
            <w:pPr>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责任人</w:t>
            </w:r>
          </w:p>
        </w:tc>
      </w:tr>
      <w:tr w14:paraId="4E156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2F901E6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272BF67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74C98BD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43" w:type="dxa"/>
            <w:vAlign w:val="center"/>
          </w:tcPr>
          <w:p w14:paraId="6069B20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4A9C919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667" w:type="dxa"/>
            <w:vAlign w:val="center"/>
          </w:tcPr>
          <w:p w14:paraId="72A5661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18852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7A1E48E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7D3D803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51C2F25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43" w:type="dxa"/>
            <w:vAlign w:val="center"/>
          </w:tcPr>
          <w:p w14:paraId="24CC86D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7C8BF9D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667" w:type="dxa"/>
            <w:vAlign w:val="center"/>
          </w:tcPr>
          <w:p w14:paraId="1EF59BD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1E841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309F82A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4C3CEFF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604CDE7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43" w:type="dxa"/>
            <w:vAlign w:val="center"/>
          </w:tcPr>
          <w:p w14:paraId="3CFFB85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165963C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667" w:type="dxa"/>
            <w:vAlign w:val="center"/>
          </w:tcPr>
          <w:p w14:paraId="6F10EDF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51633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2D9F4BA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07ED304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090A56E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43" w:type="dxa"/>
            <w:vAlign w:val="center"/>
          </w:tcPr>
          <w:p w14:paraId="70A185B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08E8831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667" w:type="dxa"/>
            <w:vAlign w:val="center"/>
          </w:tcPr>
          <w:p w14:paraId="56C39DC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716BA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42900D3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33FDB92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5A507D6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43" w:type="dxa"/>
            <w:vAlign w:val="center"/>
          </w:tcPr>
          <w:p w14:paraId="17C746D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63F49A5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667" w:type="dxa"/>
            <w:vAlign w:val="center"/>
          </w:tcPr>
          <w:p w14:paraId="71B4085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1EAFD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29D80D3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76F3A0C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6BD1734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43" w:type="dxa"/>
            <w:vAlign w:val="center"/>
          </w:tcPr>
          <w:p w14:paraId="22496FD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40981F0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667" w:type="dxa"/>
            <w:vAlign w:val="center"/>
          </w:tcPr>
          <w:p w14:paraId="18FDCA3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7A6CD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6B671D2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761D987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4DDD3DA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43" w:type="dxa"/>
            <w:vAlign w:val="center"/>
          </w:tcPr>
          <w:p w14:paraId="2A23E52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5F8E448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667" w:type="dxa"/>
            <w:vAlign w:val="center"/>
          </w:tcPr>
          <w:p w14:paraId="7B1D8F9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396F0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2C521A8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6B08ECD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1CA25C1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43" w:type="dxa"/>
            <w:vAlign w:val="center"/>
          </w:tcPr>
          <w:p w14:paraId="21B72DD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3DC9961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667" w:type="dxa"/>
            <w:vAlign w:val="center"/>
          </w:tcPr>
          <w:p w14:paraId="6624776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6FD66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412FDBE6">
            <w:pPr>
              <w:rPr>
                <w:rFonts w:ascii="宋体" w:hAnsi="宋体"/>
                <w:color w:val="000000" w:themeColor="text1"/>
                <w:szCs w:val="21"/>
                <w:highlight w:val="none"/>
                <w14:textFill>
                  <w14:solidFill>
                    <w14:schemeClr w14:val="tx1"/>
                  </w14:solidFill>
                </w14:textFill>
              </w:rPr>
            </w:pPr>
          </w:p>
        </w:tc>
        <w:tc>
          <w:tcPr>
            <w:tcW w:w="1276" w:type="dxa"/>
          </w:tcPr>
          <w:p w14:paraId="37CA0332">
            <w:pPr>
              <w:rPr>
                <w:rFonts w:ascii="宋体" w:hAnsi="宋体"/>
                <w:color w:val="000000" w:themeColor="text1"/>
                <w:szCs w:val="21"/>
                <w:highlight w:val="none"/>
                <w14:textFill>
                  <w14:solidFill>
                    <w14:schemeClr w14:val="tx1"/>
                  </w14:solidFill>
                </w14:textFill>
              </w:rPr>
            </w:pPr>
          </w:p>
        </w:tc>
        <w:tc>
          <w:tcPr>
            <w:tcW w:w="1450" w:type="dxa"/>
          </w:tcPr>
          <w:p w14:paraId="4A7A48AC">
            <w:pPr>
              <w:rPr>
                <w:rFonts w:ascii="宋体" w:hAnsi="宋体"/>
                <w:color w:val="000000" w:themeColor="text1"/>
                <w:szCs w:val="21"/>
                <w:highlight w:val="none"/>
                <w14:textFill>
                  <w14:solidFill>
                    <w14:schemeClr w14:val="tx1"/>
                  </w14:solidFill>
                </w14:textFill>
              </w:rPr>
            </w:pPr>
          </w:p>
        </w:tc>
        <w:tc>
          <w:tcPr>
            <w:tcW w:w="1243" w:type="dxa"/>
          </w:tcPr>
          <w:p w14:paraId="536B2476">
            <w:pPr>
              <w:rPr>
                <w:rFonts w:ascii="宋体" w:hAnsi="宋体"/>
                <w:color w:val="000000" w:themeColor="text1"/>
                <w:szCs w:val="21"/>
                <w:highlight w:val="none"/>
                <w14:textFill>
                  <w14:solidFill>
                    <w14:schemeClr w14:val="tx1"/>
                  </w14:solidFill>
                </w14:textFill>
              </w:rPr>
            </w:pPr>
          </w:p>
        </w:tc>
        <w:tc>
          <w:tcPr>
            <w:tcW w:w="1450" w:type="dxa"/>
          </w:tcPr>
          <w:p w14:paraId="06442A91">
            <w:pPr>
              <w:rPr>
                <w:rFonts w:ascii="宋体" w:hAnsi="宋体"/>
                <w:color w:val="000000" w:themeColor="text1"/>
                <w:szCs w:val="21"/>
                <w:highlight w:val="none"/>
                <w14:textFill>
                  <w14:solidFill>
                    <w14:schemeClr w14:val="tx1"/>
                  </w14:solidFill>
                </w14:textFill>
              </w:rPr>
            </w:pPr>
          </w:p>
        </w:tc>
        <w:tc>
          <w:tcPr>
            <w:tcW w:w="1667" w:type="dxa"/>
          </w:tcPr>
          <w:p w14:paraId="7848549B">
            <w:pPr>
              <w:rPr>
                <w:rFonts w:ascii="宋体" w:hAnsi="宋体"/>
                <w:color w:val="000000" w:themeColor="text1"/>
                <w:szCs w:val="21"/>
                <w:highlight w:val="none"/>
                <w14:textFill>
                  <w14:solidFill>
                    <w14:schemeClr w14:val="tx1"/>
                  </w14:solidFill>
                </w14:textFill>
              </w:rPr>
            </w:pPr>
          </w:p>
        </w:tc>
      </w:tr>
      <w:tr w14:paraId="5EBD1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2FFE781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46B05BA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48D593F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43" w:type="dxa"/>
            <w:vAlign w:val="center"/>
          </w:tcPr>
          <w:p w14:paraId="2711310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7064102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667" w:type="dxa"/>
            <w:vAlign w:val="center"/>
          </w:tcPr>
          <w:p w14:paraId="3F4C16A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65116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64CA9E95">
            <w:pPr>
              <w:rPr>
                <w:rFonts w:ascii="宋体" w:hAnsi="宋体"/>
                <w:color w:val="000000" w:themeColor="text1"/>
                <w:szCs w:val="21"/>
                <w:highlight w:val="none"/>
                <w14:textFill>
                  <w14:solidFill>
                    <w14:schemeClr w14:val="tx1"/>
                  </w14:solidFill>
                </w14:textFill>
              </w:rPr>
            </w:pPr>
          </w:p>
        </w:tc>
        <w:tc>
          <w:tcPr>
            <w:tcW w:w="1276" w:type="dxa"/>
          </w:tcPr>
          <w:p w14:paraId="17B1214C">
            <w:pPr>
              <w:rPr>
                <w:rFonts w:ascii="宋体" w:hAnsi="宋体"/>
                <w:color w:val="000000" w:themeColor="text1"/>
                <w:szCs w:val="21"/>
                <w:highlight w:val="none"/>
                <w14:textFill>
                  <w14:solidFill>
                    <w14:schemeClr w14:val="tx1"/>
                  </w14:solidFill>
                </w14:textFill>
              </w:rPr>
            </w:pPr>
          </w:p>
        </w:tc>
        <w:tc>
          <w:tcPr>
            <w:tcW w:w="1450" w:type="dxa"/>
          </w:tcPr>
          <w:p w14:paraId="56DF1223">
            <w:pPr>
              <w:rPr>
                <w:rFonts w:ascii="宋体" w:hAnsi="宋体"/>
                <w:color w:val="000000" w:themeColor="text1"/>
                <w:szCs w:val="21"/>
                <w:highlight w:val="none"/>
                <w14:textFill>
                  <w14:solidFill>
                    <w14:schemeClr w14:val="tx1"/>
                  </w14:solidFill>
                </w14:textFill>
              </w:rPr>
            </w:pPr>
          </w:p>
        </w:tc>
        <w:tc>
          <w:tcPr>
            <w:tcW w:w="1243" w:type="dxa"/>
          </w:tcPr>
          <w:p w14:paraId="48EFC24C">
            <w:pPr>
              <w:rPr>
                <w:rFonts w:ascii="宋体" w:hAnsi="宋体"/>
                <w:color w:val="000000" w:themeColor="text1"/>
                <w:szCs w:val="21"/>
                <w:highlight w:val="none"/>
                <w14:textFill>
                  <w14:solidFill>
                    <w14:schemeClr w14:val="tx1"/>
                  </w14:solidFill>
                </w14:textFill>
              </w:rPr>
            </w:pPr>
          </w:p>
        </w:tc>
        <w:tc>
          <w:tcPr>
            <w:tcW w:w="1450" w:type="dxa"/>
          </w:tcPr>
          <w:p w14:paraId="6F2F1BB6">
            <w:pPr>
              <w:rPr>
                <w:rFonts w:ascii="宋体" w:hAnsi="宋体"/>
                <w:color w:val="000000" w:themeColor="text1"/>
                <w:szCs w:val="21"/>
                <w:highlight w:val="none"/>
                <w14:textFill>
                  <w14:solidFill>
                    <w14:schemeClr w14:val="tx1"/>
                  </w14:solidFill>
                </w14:textFill>
              </w:rPr>
            </w:pPr>
          </w:p>
        </w:tc>
        <w:tc>
          <w:tcPr>
            <w:tcW w:w="1667" w:type="dxa"/>
          </w:tcPr>
          <w:p w14:paraId="1C6AB7AD">
            <w:pPr>
              <w:rPr>
                <w:rFonts w:ascii="宋体" w:hAnsi="宋体"/>
                <w:color w:val="000000" w:themeColor="text1"/>
                <w:szCs w:val="21"/>
                <w:highlight w:val="none"/>
                <w14:textFill>
                  <w14:solidFill>
                    <w14:schemeClr w14:val="tx1"/>
                  </w14:solidFill>
                </w14:textFill>
              </w:rPr>
            </w:pPr>
          </w:p>
        </w:tc>
      </w:tr>
      <w:tr w14:paraId="0E778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765CC91D">
            <w:pPr>
              <w:rPr>
                <w:rFonts w:ascii="宋体" w:hAnsi="宋体"/>
                <w:color w:val="000000" w:themeColor="text1"/>
                <w:szCs w:val="21"/>
                <w:highlight w:val="none"/>
                <w14:textFill>
                  <w14:solidFill>
                    <w14:schemeClr w14:val="tx1"/>
                  </w14:solidFill>
                </w14:textFill>
              </w:rPr>
            </w:pPr>
          </w:p>
        </w:tc>
        <w:tc>
          <w:tcPr>
            <w:tcW w:w="1276" w:type="dxa"/>
          </w:tcPr>
          <w:p w14:paraId="1ABD4149">
            <w:pPr>
              <w:rPr>
                <w:rFonts w:ascii="宋体" w:hAnsi="宋体"/>
                <w:color w:val="000000" w:themeColor="text1"/>
                <w:szCs w:val="21"/>
                <w:highlight w:val="none"/>
                <w14:textFill>
                  <w14:solidFill>
                    <w14:schemeClr w14:val="tx1"/>
                  </w14:solidFill>
                </w14:textFill>
              </w:rPr>
            </w:pPr>
          </w:p>
        </w:tc>
        <w:tc>
          <w:tcPr>
            <w:tcW w:w="1450" w:type="dxa"/>
          </w:tcPr>
          <w:p w14:paraId="26B08B81">
            <w:pPr>
              <w:rPr>
                <w:rFonts w:ascii="宋体" w:hAnsi="宋体"/>
                <w:color w:val="000000" w:themeColor="text1"/>
                <w:szCs w:val="21"/>
                <w:highlight w:val="none"/>
                <w14:textFill>
                  <w14:solidFill>
                    <w14:schemeClr w14:val="tx1"/>
                  </w14:solidFill>
                </w14:textFill>
              </w:rPr>
            </w:pPr>
          </w:p>
        </w:tc>
        <w:tc>
          <w:tcPr>
            <w:tcW w:w="1243" w:type="dxa"/>
          </w:tcPr>
          <w:p w14:paraId="348F808F">
            <w:pPr>
              <w:rPr>
                <w:rFonts w:ascii="宋体" w:hAnsi="宋体"/>
                <w:color w:val="000000" w:themeColor="text1"/>
                <w:szCs w:val="21"/>
                <w:highlight w:val="none"/>
                <w14:textFill>
                  <w14:solidFill>
                    <w14:schemeClr w14:val="tx1"/>
                  </w14:solidFill>
                </w14:textFill>
              </w:rPr>
            </w:pPr>
          </w:p>
        </w:tc>
        <w:tc>
          <w:tcPr>
            <w:tcW w:w="1450" w:type="dxa"/>
          </w:tcPr>
          <w:p w14:paraId="4E5BC72C">
            <w:pPr>
              <w:rPr>
                <w:rFonts w:ascii="宋体" w:hAnsi="宋体"/>
                <w:color w:val="000000" w:themeColor="text1"/>
                <w:szCs w:val="21"/>
                <w:highlight w:val="none"/>
                <w14:textFill>
                  <w14:solidFill>
                    <w14:schemeClr w14:val="tx1"/>
                  </w14:solidFill>
                </w14:textFill>
              </w:rPr>
            </w:pPr>
          </w:p>
        </w:tc>
        <w:tc>
          <w:tcPr>
            <w:tcW w:w="1667" w:type="dxa"/>
          </w:tcPr>
          <w:p w14:paraId="13E598EE">
            <w:pPr>
              <w:rPr>
                <w:rFonts w:ascii="宋体" w:hAnsi="宋体"/>
                <w:color w:val="000000" w:themeColor="text1"/>
                <w:szCs w:val="21"/>
                <w:highlight w:val="none"/>
                <w14:textFill>
                  <w14:solidFill>
                    <w14:schemeClr w14:val="tx1"/>
                  </w14:solidFill>
                </w14:textFill>
              </w:rPr>
            </w:pPr>
          </w:p>
        </w:tc>
      </w:tr>
      <w:tr w14:paraId="27608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40DF9D55">
            <w:pPr>
              <w:rPr>
                <w:rFonts w:ascii="宋体" w:hAnsi="宋体"/>
                <w:color w:val="000000" w:themeColor="text1"/>
                <w:szCs w:val="21"/>
                <w:highlight w:val="none"/>
                <w14:textFill>
                  <w14:solidFill>
                    <w14:schemeClr w14:val="tx1"/>
                  </w14:solidFill>
                </w14:textFill>
              </w:rPr>
            </w:pPr>
          </w:p>
        </w:tc>
        <w:tc>
          <w:tcPr>
            <w:tcW w:w="1276" w:type="dxa"/>
          </w:tcPr>
          <w:p w14:paraId="47CEE7F7">
            <w:pPr>
              <w:rPr>
                <w:rFonts w:ascii="宋体" w:hAnsi="宋体"/>
                <w:color w:val="000000" w:themeColor="text1"/>
                <w:szCs w:val="21"/>
                <w:highlight w:val="none"/>
                <w14:textFill>
                  <w14:solidFill>
                    <w14:schemeClr w14:val="tx1"/>
                  </w14:solidFill>
                </w14:textFill>
              </w:rPr>
            </w:pPr>
          </w:p>
        </w:tc>
        <w:tc>
          <w:tcPr>
            <w:tcW w:w="1450" w:type="dxa"/>
          </w:tcPr>
          <w:p w14:paraId="4FCC3E91">
            <w:pPr>
              <w:rPr>
                <w:rFonts w:ascii="宋体" w:hAnsi="宋体"/>
                <w:color w:val="000000" w:themeColor="text1"/>
                <w:szCs w:val="21"/>
                <w:highlight w:val="none"/>
                <w14:textFill>
                  <w14:solidFill>
                    <w14:schemeClr w14:val="tx1"/>
                  </w14:solidFill>
                </w14:textFill>
              </w:rPr>
            </w:pPr>
          </w:p>
        </w:tc>
        <w:tc>
          <w:tcPr>
            <w:tcW w:w="1243" w:type="dxa"/>
          </w:tcPr>
          <w:p w14:paraId="6CD71BB7">
            <w:pPr>
              <w:rPr>
                <w:rFonts w:ascii="宋体" w:hAnsi="宋体"/>
                <w:color w:val="000000" w:themeColor="text1"/>
                <w:szCs w:val="21"/>
                <w:highlight w:val="none"/>
                <w14:textFill>
                  <w14:solidFill>
                    <w14:schemeClr w14:val="tx1"/>
                  </w14:solidFill>
                </w14:textFill>
              </w:rPr>
            </w:pPr>
          </w:p>
        </w:tc>
        <w:tc>
          <w:tcPr>
            <w:tcW w:w="1450" w:type="dxa"/>
          </w:tcPr>
          <w:p w14:paraId="5548780F">
            <w:pPr>
              <w:rPr>
                <w:rFonts w:ascii="宋体" w:hAnsi="宋体"/>
                <w:color w:val="000000" w:themeColor="text1"/>
                <w:szCs w:val="21"/>
                <w:highlight w:val="none"/>
                <w14:textFill>
                  <w14:solidFill>
                    <w14:schemeClr w14:val="tx1"/>
                  </w14:solidFill>
                </w14:textFill>
              </w:rPr>
            </w:pPr>
          </w:p>
        </w:tc>
        <w:tc>
          <w:tcPr>
            <w:tcW w:w="1667" w:type="dxa"/>
          </w:tcPr>
          <w:p w14:paraId="2B567CBC">
            <w:pPr>
              <w:rPr>
                <w:rFonts w:ascii="宋体" w:hAnsi="宋体"/>
                <w:color w:val="000000" w:themeColor="text1"/>
                <w:szCs w:val="21"/>
                <w:highlight w:val="none"/>
                <w14:textFill>
                  <w14:solidFill>
                    <w14:schemeClr w14:val="tx1"/>
                  </w14:solidFill>
                </w14:textFill>
              </w:rPr>
            </w:pPr>
          </w:p>
        </w:tc>
      </w:tr>
      <w:tr w14:paraId="172C5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241626AD">
            <w:pPr>
              <w:rPr>
                <w:rFonts w:ascii="宋体" w:hAnsi="宋体"/>
                <w:color w:val="000000" w:themeColor="text1"/>
                <w:szCs w:val="21"/>
                <w:highlight w:val="none"/>
                <w14:textFill>
                  <w14:solidFill>
                    <w14:schemeClr w14:val="tx1"/>
                  </w14:solidFill>
                </w14:textFill>
              </w:rPr>
            </w:pPr>
          </w:p>
        </w:tc>
        <w:tc>
          <w:tcPr>
            <w:tcW w:w="1276" w:type="dxa"/>
          </w:tcPr>
          <w:p w14:paraId="512F7EB9">
            <w:pPr>
              <w:rPr>
                <w:rFonts w:ascii="宋体" w:hAnsi="宋体"/>
                <w:color w:val="000000" w:themeColor="text1"/>
                <w:szCs w:val="21"/>
                <w:highlight w:val="none"/>
                <w14:textFill>
                  <w14:solidFill>
                    <w14:schemeClr w14:val="tx1"/>
                  </w14:solidFill>
                </w14:textFill>
              </w:rPr>
            </w:pPr>
          </w:p>
        </w:tc>
        <w:tc>
          <w:tcPr>
            <w:tcW w:w="1450" w:type="dxa"/>
          </w:tcPr>
          <w:p w14:paraId="09D8EDAC">
            <w:pPr>
              <w:rPr>
                <w:rFonts w:ascii="宋体" w:hAnsi="宋体"/>
                <w:color w:val="000000" w:themeColor="text1"/>
                <w:szCs w:val="21"/>
                <w:highlight w:val="none"/>
                <w14:textFill>
                  <w14:solidFill>
                    <w14:schemeClr w14:val="tx1"/>
                  </w14:solidFill>
                </w14:textFill>
              </w:rPr>
            </w:pPr>
          </w:p>
        </w:tc>
        <w:tc>
          <w:tcPr>
            <w:tcW w:w="1243" w:type="dxa"/>
          </w:tcPr>
          <w:p w14:paraId="26133A90">
            <w:pPr>
              <w:rPr>
                <w:rFonts w:ascii="宋体" w:hAnsi="宋体"/>
                <w:color w:val="000000" w:themeColor="text1"/>
                <w:szCs w:val="21"/>
                <w:highlight w:val="none"/>
                <w14:textFill>
                  <w14:solidFill>
                    <w14:schemeClr w14:val="tx1"/>
                  </w14:solidFill>
                </w14:textFill>
              </w:rPr>
            </w:pPr>
          </w:p>
        </w:tc>
        <w:tc>
          <w:tcPr>
            <w:tcW w:w="1450" w:type="dxa"/>
          </w:tcPr>
          <w:p w14:paraId="544DD6A4">
            <w:pPr>
              <w:rPr>
                <w:rFonts w:ascii="宋体" w:hAnsi="宋体"/>
                <w:color w:val="000000" w:themeColor="text1"/>
                <w:szCs w:val="21"/>
                <w:highlight w:val="none"/>
                <w14:textFill>
                  <w14:solidFill>
                    <w14:schemeClr w14:val="tx1"/>
                  </w14:solidFill>
                </w14:textFill>
              </w:rPr>
            </w:pPr>
          </w:p>
        </w:tc>
        <w:tc>
          <w:tcPr>
            <w:tcW w:w="1667" w:type="dxa"/>
          </w:tcPr>
          <w:p w14:paraId="4765D424">
            <w:pPr>
              <w:rPr>
                <w:rFonts w:ascii="宋体" w:hAnsi="宋体"/>
                <w:color w:val="000000" w:themeColor="text1"/>
                <w:szCs w:val="21"/>
                <w:highlight w:val="none"/>
                <w14:textFill>
                  <w14:solidFill>
                    <w14:schemeClr w14:val="tx1"/>
                  </w14:solidFill>
                </w14:textFill>
              </w:rPr>
            </w:pPr>
          </w:p>
        </w:tc>
      </w:tr>
      <w:tr w14:paraId="346CA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7C82749F">
            <w:pPr>
              <w:rPr>
                <w:rFonts w:ascii="宋体" w:hAnsi="宋体"/>
                <w:color w:val="000000" w:themeColor="text1"/>
                <w:szCs w:val="21"/>
                <w:highlight w:val="none"/>
                <w14:textFill>
                  <w14:solidFill>
                    <w14:schemeClr w14:val="tx1"/>
                  </w14:solidFill>
                </w14:textFill>
              </w:rPr>
            </w:pPr>
          </w:p>
        </w:tc>
        <w:tc>
          <w:tcPr>
            <w:tcW w:w="1276" w:type="dxa"/>
          </w:tcPr>
          <w:p w14:paraId="1E9EE77D">
            <w:pPr>
              <w:rPr>
                <w:rFonts w:ascii="宋体" w:hAnsi="宋体"/>
                <w:color w:val="000000" w:themeColor="text1"/>
                <w:szCs w:val="21"/>
                <w:highlight w:val="none"/>
                <w14:textFill>
                  <w14:solidFill>
                    <w14:schemeClr w14:val="tx1"/>
                  </w14:solidFill>
                </w14:textFill>
              </w:rPr>
            </w:pPr>
          </w:p>
        </w:tc>
        <w:tc>
          <w:tcPr>
            <w:tcW w:w="1450" w:type="dxa"/>
          </w:tcPr>
          <w:p w14:paraId="14EE81A8">
            <w:pPr>
              <w:rPr>
                <w:rFonts w:ascii="宋体" w:hAnsi="宋体"/>
                <w:color w:val="000000" w:themeColor="text1"/>
                <w:szCs w:val="21"/>
                <w:highlight w:val="none"/>
                <w14:textFill>
                  <w14:solidFill>
                    <w14:schemeClr w14:val="tx1"/>
                  </w14:solidFill>
                </w14:textFill>
              </w:rPr>
            </w:pPr>
          </w:p>
        </w:tc>
        <w:tc>
          <w:tcPr>
            <w:tcW w:w="1243" w:type="dxa"/>
          </w:tcPr>
          <w:p w14:paraId="2002967C">
            <w:pPr>
              <w:rPr>
                <w:rFonts w:ascii="宋体" w:hAnsi="宋体"/>
                <w:color w:val="000000" w:themeColor="text1"/>
                <w:szCs w:val="21"/>
                <w:highlight w:val="none"/>
                <w14:textFill>
                  <w14:solidFill>
                    <w14:schemeClr w14:val="tx1"/>
                  </w14:solidFill>
                </w14:textFill>
              </w:rPr>
            </w:pPr>
          </w:p>
        </w:tc>
        <w:tc>
          <w:tcPr>
            <w:tcW w:w="1450" w:type="dxa"/>
          </w:tcPr>
          <w:p w14:paraId="7A6AE7A9">
            <w:pPr>
              <w:rPr>
                <w:rFonts w:ascii="宋体" w:hAnsi="宋体"/>
                <w:color w:val="000000" w:themeColor="text1"/>
                <w:szCs w:val="21"/>
                <w:highlight w:val="none"/>
                <w14:textFill>
                  <w14:solidFill>
                    <w14:schemeClr w14:val="tx1"/>
                  </w14:solidFill>
                </w14:textFill>
              </w:rPr>
            </w:pPr>
          </w:p>
        </w:tc>
        <w:tc>
          <w:tcPr>
            <w:tcW w:w="1667" w:type="dxa"/>
          </w:tcPr>
          <w:p w14:paraId="34C87D96">
            <w:pPr>
              <w:rPr>
                <w:rFonts w:ascii="宋体" w:hAnsi="宋体"/>
                <w:color w:val="000000" w:themeColor="text1"/>
                <w:szCs w:val="21"/>
                <w:highlight w:val="none"/>
                <w14:textFill>
                  <w14:solidFill>
                    <w14:schemeClr w14:val="tx1"/>
                  </w14:solidFill>
                </w14:textFill>
              </w:rPr>
            </w:pPr>
          </w:p>
        </w:tc>
      </w:tr>
      <w:tr w14:paraId="3EF65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7DBBB364">
            <w:pPr>
              <w:rPr>
                <w:rFonts w:ascii="宋体" w:hAnsi="宋体"/>
                <w:color w:val="000000" w:themeColor="text1"/>
                <w:szCs w:val="21"/>
                <w:highlight w:val="none"/>
                <w14:textFill>
                  <w14:solidFill>
                    <w14:schemeClr w14:val="tx1"/>
                  </w14:solidFill>
                </w14:textFill>
              </w:rPr>
            </w:pPr>
          </w:p>
        </w:tc>
        <w:tc>
          <w:tcPr>
            <w:tcW w:w="1276" w:type="dxa"/>
          </w:tcPr>
          <w:p w14:paraId="1F59B792">
            <w:pPr>
              <w:rPr>
                <w:rFonts w:ascii="宋体" w:hAnsi="宋体"/>
                <w:color w:val="000000" w:themeColor="text1"/>
                <w:szCs w:val="21"/>
                <w:highlight w:val="none"/>
                <w14:textFill>
                  <w14:solidFill>
                    <w14:schemeClr w14:val="tx1"/>
                  </w14:solidFill>
                </w14:textFill>
              </w:rPr>
            </w:pPr>
          </w:p>
        </w:tc>
        <w:tc>
          <w:tcPr>
            <w:tcW w:w="1450" w:type="dxa"/>
          </w:tcPr>
          <w:p w14:paraId="6B95B256">
            <w:pPr>
              <w:rPr>
                <w:rFonts w:ascii="宋体" w:hAnsi="宋体"/>
                <w:color w:val="000000" w:themeColor="text1"/>
                <w:szCs w:val="21"/>
                <w:highlight w:val="none"/>
                <w14:textFill>
                  <w14:solidFill>
                    <w14:schemeClr w14:val="tx1"/>
                  </w14:solidFill>
                </w14:textFill>
              </w:rPr>
            </w:pPr>
          </w:p>
        </w:tc>
        <w:tc>
          <w:tcPr>
            <w:tcW w:w="1243" w:type="dxa"/>
          </w:tcPr>
          <w:p w14:paraId="7E8A7B40">
            <w:pPr>
              <w:rPr>
                <w:rFonts w:ascii="宋体" w:hAnsi="宋体"/>
                <w:color w:val="000000" w:themeColor="text1"/>
                <w:szCs w:val="21"/>
                <w:highlight w:val="none"/>
                <w14:textFill>
                  <w14:solidFill>
                    <w14:schemeClr w14:val="tx1"/>
                  </w14:solidFill>
                </w14:textFill>
              </w:rPr>
            </w:pPr>
          </w:p>
        </w:tc>
        <w:tc>
          <w:tcPr>
            <w:tcW w:w="1450" w:type="dxa"/>
          </w:tcPr>
          <w:p w14:paraId="71D52790">
            <w:pPr>
              <w:rPr>
                <w:rFonts w:ascii="宋体" w:hAnsi="宋体"/>
                <w:color w:val="000000" w:themeColor="text1"/>
                <w:szCs w:val="21"/>
                <w:highlight w:val="none"/>
                <w14:textFill>
                  <w14:solidFill>
                    <w14:schemeClr w14:val="tx1"/>
                  </w14:solidFill>
                </w14:textFill>
              </w:rPr>
            </w:pPr>
          </w:p>
        </w:tc>
        <w:tc>
          <w:tcPr>
            <w:tcW w:w="1667" w:type="dxa"/>
          </w:tcPr>
          <w:p w14:paraId="5A97356C">
            <w:pPr>
              <w:rPr>
                <w:rFonts w:ascii="宋体" w:hAnsi="宋体"/>
                <w:color w:val="000000" w:themeColor="text1"/>
                <w:szCs w:val="21"/>
                <w:highlight w:val="none"/>
                <w14:textFill>
                  <w14:solidFill>
                    <w14:schemeClr w14:val="tx1"/>
                  </w14:solidFill>
                </w14:textFill>
              </w:rPr>
            </w:pPr>
          </w:p>
        </w:tc>
      </w:tr>
      <w:tr w14:paraId="09B5E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470739CA">
            <w:pPr>
              <w:rPr>
                <w:rFonts w:ascii="宋体" w:hAnsi="宋体"/>
                <w:color w:val="000000" w:themeColor="text1"/>
                <w:szCs w:val="21"/>
                <w:highlight w:val="none"/>
                <w14:textFill>
                  <w14:solidFill>
                    <w14:schemeClr w14:val="tx1"/>
                  </w14:solidFill>
                </w14:textFill>
              </w:rPr>
            </w:pPr>
          </w:p>
        </w:tc>
        <w:tc>
          <w:tcPr>
            <w:tcW w:w="1276" w:type="dxa"/>
          </w:tcPr>
          <w:p w14:paraId="15A6929B">
            <w:pPr>
              <w:rPr>
                <w:rFonts w:ascii="宋体" w:hAnsi="宋体"/>
                <w:color w:val="000000" w:themeColor="text1"/>
                <w:szCs w:val="21"/>
                <w:highlight w:val="none"/>
                <w14:textFill>
                  <w14:solidFill>
                    <w14:schemeClr w14:val="tx1"/>
                  </w14:solidFill>
                </w14:textFill>
              </w:rPr>
            </w:pPr>
          </w:p>
        </w:tc>
        <w:tc>
          <w:tcPr>
            <w:tcW w:w="1450" w:type="dxa"/>
          </w:tcPr>
          <w:p w14:paraId="4C4D772E">
            <w:pPr>
              <w:rPr>
                <w:rFonts w:ascii="宋体" w:hAnsi="宋体"/>
                <w:color w:val="000000" w:themeColor="text1"/>
                <w:szCs w:val="21"/>
                <w:highlight w:val="none"/>
                <w14:textFill>
                  <w14:solidFill>
                    <w14:schemeClr w14:val="tx1"/>
                  </w14:solidFill>
                </w14:textFill>
              </w:rPr>
            </w:pPr>
          </w:p>
        </w:tc>
        <w:tc>
          <w:tcPr>
            <w:tcW w:w="1243" w:type="dxa"/>
          </w:tcPr>
          <w:p w14:paraId="6A6C92D7">
            <w:pPr>
              <w:rPr>
                <w:rFonts w:ascii="宋体" w:hAnsi="宋体"/>
                <w:color w:val="000000" w:themeColor="text1"/>
                <w:szCs w:val="21"/>
                <w:highlight w:val="none"/>
                <w14:textFill>
                  <w14:solidFill>
                    <w14:schemeClr w14:val="tx1"/>
                  </w14:solidFill>
                </w14:textFill>
              </w:rPr>
            </w:pPr>
          </w:p>
        </w:tc>
        <w:tc>
          <w:tcPr>
            <w:tcW w:w="1450" w:type="dxa"/>
          </w:tcPr>
          <w:p w14:paraId="34266CEA">
            <w:pPr>
              <w:rPr>
                <w:rFonts w:ascii="宋体" w:hAnsi="宋体"/>
                <w:color w:val="000000" w:themeColor="text1"/>
                <w:szCs w:val="21"/>
                <w:highlight w:val="none"/>
                <w14:textFill>
                  <w14:solidFill>
                    <w14:schemeClr w14:val="tx1"/>
                  </w14:solidFill>
                </w14:textFill>
              </w:rPr>
            </w:pPr>
          </w:p>
        </w:tc>
        <w:tc>
          <w:tcPr>
            <w:tcW w:w="1667" w:type="dxa"/>
          </w:tcPr>
          <w:p w14:paraId="308A7096">
            <w:pPr>
              <w:rPr>
                <w:rFonts w:ascii="宋体" w:hAnsi="宋体"/>
                <w:color w:val="000000" w:themeColor="text1"/>
                <w:szCs w:val="21"/>
                <w:highlight w:val="none"/>
                <w14:textFill>
                  <w14:solidFill>
                    <w14:schemeClr w14:val="tx1"/>
                  </w14:solidFill>
                </w14:textFill>
              </w:rPr>
            </w:pPr>
          </w:p>
        </w:tc>
      </w:tr>
      <w:tr w14:paraId="41C9D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0B8B3F03">
            <w:pPr>
              <w:rPr>
                <w:rFonts w:ascii="宋体" w:hAnsi="宋体"/>
                <w:color w:val="000000" w:themeColor="text1"/>
                <w:szCs w:val="21"/>
                <w:highlight w:val="none"/>
                <w14:textFill>
                  <w14:solidFill>
                    <w14:schemeClr w14:val="tx1"/>
                  </w14:solidFill>
                </w14:textFill>
              </w:rPr>
            </w:pPr>
          </w:p>
        </w:tc>
        <w:tc>
          <w:tcPr>
            <w:tcW w:w="1276" w:type="dxa"/>
          </w:tcPr>
          <w:p w14:paraId="2116CD00">
            <w:pPr>
              <w:rPr>
                <w:rFonts w:ascii="宋体" w:hAnsi="宋体"/>
                <w:color w:val="000000" w:themeColor="text1"/>
                <w:szCs w:val="21"/>
                <w:highlight w:val="none"/>
                <w14:textFill>
                  <w14:solidFill>
                    <w14:schemeClr w14:val="tx1"/>
                  </w14:solidFill>
                </w14:textFill>
              </w:rPr>
            </w:pPr>
          </w:p>
        </w:tc>
        <w:tc>
          <w:tcPr>
            <w:tcW w:w="1450" w:type="dxa"/>
          </w:tcPr>
          <w:p w14:paraId="17F1DA04">
            <w:pPr>
              <w:rPr>
                <w:rFonts w:ascii="宋体" w:hAnsi="宋体"/>
                <w:color w:val="000000" w:themeColor="text1"/>
                <w:szCs w:val="21"/>
                <w:highlight w:val="none"/>
                <w14:textFill>
                  <w14:solidFill>
                    <w14:schemeClr w14:val="tx1"/>
                  </w14:solidFill>
                </w14:textFill>
              </w:rPr>
            </w:pPr>
          </w:p>
        </w:tc>
        <w:tc>
          <w:tcPr>
            <w:tcW w:w="1243" w:type="dxa"/>
          </w:tcPr>
          <w:p w14:paraId="7CDE2B3B">
            <w:pPr>
              <w:rPr>
                <w:rFonts w:ascii="宋体" w:hAnsi="宋体"/>
                <w:color w:val="000000" w:themeColor="text1"/>
                <w:szCs w:val="21"/>
                <w:highlight w:val="none"/>
                <w14:textFill>
                  <w14:solidFill>
                    <w14:schemeClr w14:val="tx1"/>
                  </w14:solidFill>
                </w14:textFill>
              </w:rPr>
            </w:pPr>
          </w:p>
        </w:tc>
        <w:tc>
          <w:tcPr>
            <w:tcW w:w="1450" w:type="dxa"/>
          </w:tcPr>
          <w:p w14:paraId="4F973CA5">
            <w:pPr>
              <w:rPr>
                <w:rFonts w:ascii="宋体" w:hAnsi="宋体"/>
                <w:color w:val="000000" w:themeColor="text1"/>
                <w:szCs w:val="21"/>
                <w:highlight w:val="none"/>
                <w14:textFill>
                  <w14:solidFill>
                    <w14:schemeClr w14:val="tx1"/>
                  </w14:solidFill>
                </w14:textFill>
              </w:rPr>
            </w:pPr>
          </w:p>
        </w:tc>
        <w:tc>
          <w:tcPr>
            <w:tcW w:w="1667" w:type="dxa"/>
          </w:tcPr>
          <w:p w14:paraId="6CC3762E">
            <w:pPr>
              <w:rPr>
                <w:rFonts w:ascii="宋体" w:hAnsi="宋体"/>
                <w:color w:val="000000" w:themeColor="text1"/>
                <w:szCs w:val="21"/>
                <w:highlight w:val="none"/>
                <w14:textFill>
                  <w14:solidFill>
                    <w14:schemeClr w14:val="tx1"/>
                  </w14:solidFill>
                </w14:textFill>
              </w:rPr>
            </w:pPr>
          </w:p>
        </w:tc>
      </w:tr>
    </w:tbl>
    <w:p w14:paraId="19447A00">
      <w:pPr>
        <w:widowControl/>
        <w:rPr>
          <w:rFonts w:ascii="宋体" w:hAnsi="宋体" w:cs="宋体"/>
          <w:color w:val="000000" w:themeColor="text1"/>
          <w:kern w:val="0"/>
          <w:szCs w:val="21"/>
          <w:highlight w:val="none"/>
          <w14:textFill>
            <w14:solidFill>
              <w14:schemeClr w14:val="tx1"/>
            </w14:solidFill>
          </w14:textFill>
        </w:rPr>
      </w:pPr>
    </w:p>
    <w:p w14:paraId="1C355A13">
      <w:pPr>
        <w:widowControl/>
        <w:jc w:val="left"/>
        <w:rPr>
          <w:b/>
          <w:color w:val="000000" w:themeColor="text1"/>
          <w:highlight w:val="none"/>
          <w14:textFill>
            <w14:solidFill>
              <w14:schemeClr w14:val="tx1"/>
            </w14:solidFill>
          </w14:textFill>
        </w:rPr>
      </w:pPr>
      <w:r>
        <w:rPr>
          <w:b/>
          <w:color w:val="000000" w:themeColor="text1"/>
          <w:highlight w:val="none"/>
          <w14:textFill>
            <w14:solidFill>
              <w14:schemeClr w14:val="tx1"/>
            </w14:solidFill>
          </w14:textFill>
        </w:rPr>
        <w:br w:type="page"/>
      </w:r>
    </w:p>
    <w:p w14:paraId="25CD1516">
      <w:pPr>
        <w:adjustRightInd w:val="0"/>
        <w:snapToGrid w:val="0"/>
        <w:spacing w:line="480" w:lineRule="exact"/>
        <w:rPr>
          <w:rFonts w:ascii="黑体" w:hAnsi="宋体" w:eastAsia="黑体"/>
          <w:b/>
          <w:color w:val="000000" w:themeColor="text1"/>
          <w:sz w:val="24"/>
          <w:highlight w:val="none"/>
          <w14:textFill>
            <w14:solidFill>
              <w14:schemeClr w14:val="tx1"/>
            </w14:solidFill>
          </w14:textFill>
        </w:rPr>
      </w:pPr>
      <w:bookmarkStart w:id="487" w:name="_Toc23281_WPSOffice_Level2"/>
      <w:r>
        <w:rPr>
          <w:rFonts w:hint="eastAsia" w:ascii="黑体" w:hAnsi="宋体" w:eastAsia="黑体"/>
          <w:b/>
          <w:color w:val="000000" w:themeColor="text1"/>
          <w:sz w:val="24"/>
          <w:highlight w:val="none"/>
          <w14:textFill>
            <w14:solidFill>
              <w14:schemeClr w14:val="tx1"/>
            </w14:solidFill>
          </w14:textFill>
        </w:rPr>
        <w:t>附</w:t>
      </w:r>
      <w:bookmarkStart w:id="488" w:name="_Toc296891267"/>
      <w:bookmarkStart w:id="489" w:name="_Toc267261698"/>
      <w:bookmarkStart w:id="490" w:name="_Toc296891055"/>
      <w:bookmarkStart w:id="491" w:name="_Toc296346728"/>
      <w:bookmarkStart w:id="492" w:name="_Toc296503227"/>
      <w:bookmarkStart w:id="493" w:name="_Toc296944566"/>
      <w:bookmarkStart w:id="494" w:name="_Toc296347226"/>
      <w:r>
        <w:rPr>
          <w:rFonts w:hint="eastAsia" w:ascii="黑体" w:hAnsi="宋体" w:eastAsia="黑体"/>
          <w:b/>
          <w:color w:val="000000" w:themeColor="text1"/>
          <w:sz w:val="24"/>
          <w:highlight w:val="none"/>
          <w14:textFill>
            <w14:solidFill>
              <w14:schemeClr w14:val="tx1"/>
            </w14:solidFill>
          </w14:textFill>
        </w:rPr>
        <w:t>件4：</w:t>
      </w:r>
      <w:bookmarkEnd w:id="487"/>
    </w:p>
    <w:bookmarkEnd w:id="488"/>
    <w:bookmarkEnd w:id="489"/>
    <w:bookmarkEnd w:id="490"/>
    <w:bookmarkEnd w:id="491"/>
    <w:bookmarkEnd w:id="492"/>
    <w:bookmarkEnd w:id="493"/>
    <w:bookmarkEnd w:id="494"/>
    <w:p w14:paraId="1CD283FF">
      <w:pPr>
        <w:jc w:val="center"/>
        <w:rPr>
          <w:rFonts w:ascii="黑体" w:hAnsi="宋体" w:eastAsia="黑体"/>
          <w:b/>
          <w:color w:val="000000" w:themeColor="text1"/>
          <w:sz w:val="24"/>
          <w:highlight w:val="none"/>
          <w14:textFill>
            <w14:solidFill>
              <w14:schemeClr w14:val="tx1"/>
            </w14:solidFill>
          </w14:textFill>
        </w:rPr>
      </w:pPr>
      <w:r>
        <w:rPr>
          <w:rFonts w:hint="eastAsia" w:ascii="黑体" w:hAnsi="宋体" w:eastAsia="黑体"/>
          <w:b/>
          <w:color w:val="000000" w:themeColor="text1"/>
          <w:sz w:val="24"/>
          <w:highlight w:val="none"/>
          <w14:textFill>
            <w14:solidFill>
              <w14:schemeClr w14:val="tx1"/>
            </w14:solidFill>
          </w14:textFill>
        </w:rPr>
        <w:t>承包人用于本工程施工的机械设备表</w:t>
      </w:r>
    </w:p>
    <w:tbl>
      <w:tblPr>
        <w:tblStyle w:val="6"/>
        <w:tblW w:w="98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2B828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54" w:hRule="atLeast"/>
          <w:jc w:val="center"/>
        </w:trPr>
        <w:tc>
          <w:tcPr>
            <w:tcW w:w="1162" w:type="dxa"/>
            <w:vAlign w:val="center"/>
          </w:tcPr>
          <w:p w14:paraId="0770CB85">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序号</w:t>
            </w:r>
          </w:p>
        </w:tc>
        <w:tc>
          <w:tcPr>
            <w:tcW w:w="1418" w:type="dxa"/>
            <w:vAlign w:val="center"/>
          </w:tcPr>
          <w:p w14:paraId="15EDDB9E">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机械或设备</w:t>
            </w:r>
          </w:p>
          <w:p w14:paraId="0F1BE664">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名称</w:t>
            </w:r>
          </w:p>
        </w:tc>
        <w:tc>
          <w:tcPr>
            <w:tcW w:w="850" w:type="dxa"/>
            <w:vAlign w:val="center"/>
          </w:tcPr>
          <w:p w14:paraId="27E65D51">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规格</w:t>
            </w:r>
            <w:r>
              <w:rPr>
                <w:rFonts w:hint="eastAsia" w:ascii="宋体" w:hAnsi="宋体"/>
                <w:b/>
                <w:color w:val="000000" w:themeColor="text1"/>
                <w:szCs w:val="21"/>
                <w:highlight w:val="none"/>
                <w14:textFill>
                  <w14:solidFill>
                    <w14:schemeClr w14:val="tx1"/>
                  </w14:solidFill>
                </w14:textFill>
              </w:rPr>
              <w:t xml:space="preserve"> </w:t>
            </w:r>
            <w:r>
              <w:rPr>
                <w:rFonts w:ascii="宋体" w:hAnsi="宋体"/>
                <w:b/>
                <w:color w:val="000000" w:themeColor="text1"/>
                <w:szCs w:val="21"/>
                <w:highlight w:val="none"/>
                <w14:textFill>
                  <w14:solidFill>
                    <w14:schemeClr w14:val="tx1"/>
                  </w14:solidFill>
                </w14:textFill>
              </w:rPr>
              <w:t>型号</w:t>
            </w:r>
          </w:p>
        </w:tc>
        <w:tc>
          <w:tcPr>
            <w:tcW w:w="1058" w:type="dxa"/>
            <w:vAlign w:val="center"/>
          </w:tcPr>
          <w:p w14:paraId="0566FF4E">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数量</w:t>
            </w:r>
          </w:p>
        </w:tc>
        <w:tc>
          <w:tcPr>
            <w:tcW w:w="880" w:type="dxa"/>
            <w:vAlign w:val="center"/>
          </w:tcPr>
          <w:p w14:paraId="03370CD1">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产地</w:t>
            </w:r>
          </w:p>
        </w:tc>
        <w:tc>
          <w:tcPr>
            <w:tcW w:w="1020" w:type="dxa"/>
            <w:vAlign w:val="center"/>
          </w:tcPr>
          <w:p w14:paraId="6BED3A46">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制造</w:t>
            </w:r>
            <w:r>
              <w:rPr>
                <w:rFonts w:hint="eastAsia" w:ascii="宋体" w:hAnsi="宋体"/>
                <w:b/>
                <w:color w:val="000000" w:themeColor="text1"/>
                <w:szCs w:val="21"/>
                <w:highlight w:val="none"/>
                <w14:textFill>
                  <w14:solidFill>
                    <w14:schemeClr w14:val="tx1"/>
                  </w14:solidFill>
                </w14:textFill>
              </w:rPr>
              <w:t xml:space="preserve">  </w:t>
            </w:r>
          </w:p>
          <w:p w14:paraId="5C1CD85D">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年份</w:t>
            </w:r>
          </w:p>
        </w:tc>
        <w:tc>
          <w:tcPr>
            <w:tcW w:w="1480" w:type="dxa"/>
            <w:vAlign w:val="center"/>
          </w:tcPr>
          <w:p w14:paraId="6126C881">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额定功率</w:t>
            </w:r>
          </w:p>
          <w:p w14:paraId="2093E277">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(kW)</w:t>
            </w:r>
          </w:p>
        </w:tc>
        <w:tc>
          <w:tcPr>
            <w:tcW w:w="1020" w:type="dxa"/>
            <w:vAlign w:val="center"/>
          </w:tcPr>
          <w:p w14:paraId="022E84C4">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生产</w:t>
            </w:r>
            <w:r>
              <w:rPr>
                <w:rFonts w:hint="eastAsia" w:ascii="宋体" w:hAnsi="宋体"/>
                <w:b/>
                <w:color w:val="000000" w:themeColor="text1"/>
                <w:szCs w:val="21"/>
                <w:highlight w:val="none"/>
                <w14:textFill>
                  <w14:solidFill>
                    <w14:schemeClr w14:val="tx1"/>
                  </w14:solidFill>
                </w14:textFill>
              </w:rPr>
              <w:t xml:space="preserve">  </w:t>
            </w:r>
          </w:p>
          <w:p w14:paraId="0FD97B91">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能力</w:t>
            </w:r>
          </w:p>
        </w:tc>
        <w:tc>
          <w:tcPr>
            <w:tcW w:w="921" w:type="dxa"/>
            <w:vAlign w:val="center"/>
          </w:tcPr>
          <w:p w14:paraId="2D6B97D3">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备注</w:t>
            </w:r>
          </w:p>
        </w:tc>
      </w:tr>
      <w:tr w14:paraId="78494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27FF8BE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7DAB50C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77D869B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58" w:type="dxa"/>
            <w:vAlign w:val="center"/>
          </w:tcPr>
          <w:p w14:paraId="4CBD48F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80" w:type="dxa"/>
            <w:vAlign w:val="center"/>
          </w:tcPr>
          <w:p w14:paraId="5EE8610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68B28C8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80" w:type="dxa"/>
            <w:vAlign w:val="center"/>
          </w:tcPr>
          <w:p w14:paraId="08DB087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5C5E830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21" w:type="dxa"/>
            <w:vAlign w:val="center"/>
          </w:tcPr>
          <w:p w14:paraId="41074A2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0F3B6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282BF8A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4FF6E00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50D66F1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58" w:type="dxa"/>
            <w:vAlign w:val="center"/>
          </w:tcPr>
          <w:p w14:paraId="1628E50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80" w:type="dxa"/>
            <w:vAlign w:val="center"/>
          </w:tcPr>
          <w:p w14:paraId="2DBC982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3D83018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80" w:type="dxa"/>
            <w:vAlign w:val="center"/>
          </w:tcPr>
          <w:p w14:paraId="6BE2B69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74B8050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21" w:type="dxa"/>
            <w:vAlign w:val="center"/>
          </w:tcPr>
          <w:p w14:paraId="01B4255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24740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0B6AC8F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169A6E9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4F2E980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58" w:type="dxa"/>
            <w:vAlign w:val="center"/>
          </w:tcPr>
          <w:p w14:paraId="72C4972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80" w:type="dxa"/>
            <w:vAlign w:val="center"/>
          </w:tcPr>
          <w:p w14:paraId="1C51754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5EB6341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80" w:type="dxa"/>
            <w:vAlign w:val="center"/>
          </w:tcPr>
          <w:p w14:paraId="1354335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650B63B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21" w:type="dxa"/>
            <w:vAlign w:val="center"/>
          </w:tcPr>
          <w:p w14:paraId="4F2A762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41088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09C2FAB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3E70027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5F594A3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58" w:type="dxa"/>
            <w:vAlign w:val="center"/>
          </w:tcPr>
          <w:p w14:paraId="1B1DE42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80" w:type="dxa"/>
            <w:vAlign w:val="center"/>
          </w:tcPr>
          <w:p w14:paraId="52969D4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1F90771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80" w:type="dxa"/>
            <w:vAlign w:val="center"/>
          </w:tcPr>
          <w:p w14:paraId="482E286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3095971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21" w:type="dxa"/>
            <w:vAlign w:val="center"/>
          </w:tcPr>
          <w:p w14:paraId="6781BF5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02BF1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3281717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406D4CF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1D7F19A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58" w:type="dxa"/>
            <w:vAlign w:val="center"/>
          </w:tcPr>
          <w:p w14:paraId="1CEEEC5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80" w:type="dxa"/>
            <w:vAlign w:val="center"/>
          </w:tcPr>
          <w:p w14:paraId="17DA3DE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2A9175B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80" w:type="dxa"/>
            <w:vAlign w:val="center"/>
          </w:tcPr>
          <w:p w14:paraId="479BC65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4E1E6CD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21" w:type="dxa"/>
            <w:vAlign w:val="center"/>
          </w:tcPr>
          <w:p w14:paraId="0681328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27F42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091AF67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4782CE0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4CF9291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58" w:type="dxa"/>
            <w:vAlign w:val="center"/>
          </w:tcPr>
          <w:p w14:paraId="36FCC0D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80" w:type="dxa"/>
            <w:vAlign w:val="center"/>
          </w:tcPr>
          <w:p w14:paraId="0A376F7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59E4B43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80" w:type="dxa"/>
            <w:vAlign w:val="center"/>
          </w:tcPr>
          <w:p w14:paraId="0BD542C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0003B1A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21" w:type="dxa"/>
            <w:vAlign w:val="center"/>
          </w:tcPr>
          <w:p w14:paraId="47E35CB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2A312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1EBA7FB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76CE1C8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030FE9D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58" w:type="dxa"/>
            <w:vAlign w:val="center"/>
          </w:tcPr>
          <w:p w14:paraId="683FC1E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80" w:type="dxa"/>
            <w:vAlign w:val="center"/>
          </w:tcPr>
          <w:p w14:paraId="0F9948F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3A7419A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80" w:type="dxa"/>
            <w:vAlign w:val="center"/>
          </w:tcPr>
          <w:p w14:paraId="090D348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3004BB7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21" w:type="dxa"/>
            <w:vAlign w:val="center"/>
          </w:tcPr>
          <w:p w14:paraId="472F35A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7BD44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064409D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39D7B9F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1C28EE2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58" w:type="dxa"/>
            <w:vAlign w:val="center"/>
          </w:tcPr>
          <w:p w14:paraId="1FDBEE7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80" w:type="dxa"/>
            <w:vAlign w:val="center"/>
          </w:tcPr>
          <w:p w14:paraId="703800F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16B32CB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80" w:type="dxa"/>
            <w:vAlign w:val="center"/>
          </w:tcPr>
          <w:p w14:paraId="44E4E82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01A164D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21" w:type="dxa"/>
            <w:vAlign w:val="center"/>
          </w:tcPr>
          <w:p w14:paraId="0F87854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5A698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5E7833A5">
            <w:pPr>
              <w:rPr>
                <w:rFonts w:ascii="宋体" w:hAnsi="宋体"/>
                <w:color w:val="000000" w:themeColor="text1"/>
                <w:szCs w:val="21"/>
                <w:highlight w:val="none"/>
                <w14:textFill>
                  <w14:solidFill>
                    <w14:schemeClr w14:val="tx1"/>
                  </w14:solidFill>
                </w14:textFill>
              </w:rPr>
            </w:pPr>
          </w:p>
        </w:tc>
        <w:tc>
          <w:tcPr>
            <w:tcW w:w="1418" w:type="dxa"/>
          </w:tcPr>
          <w:p w14:paraId="0237126B">
            <w:pPr>
              <w:rPr>
                <w:rFonts w:ascii="宋体" w:hAnsi="宋体"/>
                <w:color w:val="000000" w:themeColor="text1"/>
                <w:szCs w:val="21"/>
                <w:highlight w:val="none"/>
                <w14:textFill>
                  <w14:solidFill>
                    <w14:schemeClr w14:val="tx1"/>
                  </w14:solidFill>
                </w14:textFill>
              </w:rPr>
            </w:pPr>
          </w:p>
        </w:tc>
        <w:tc>
          <w:tcPr>
            <w:tcW w:w="850" w:type="dxa"/>
          </w:tcPr>
          <w:p w14:paraId="64066A3F">
            <w:pPr>
              <w:rPr>
                <w:rFonts w:ascii="宋体" w:hAnsi="宋体"/>
                <w:color w:val="000000" w:themeColor="text1"/>
                <w:szCs w:val="21"/>
                <w:highlight w:val="none"/>
                <w14:textFill>
                  <w14:solidFill>
                    <w14:schemeClr w14:val="tx1"/>
                  </w14:solidFill>
                </w14:textFill>
              </w:rPr>
            </w:pPr>
          </w:p>
        </w:tc>
        <w:tc>
          <w:tcPr>
            <w:tcW w:w="1058" w:type="dxa"/>
          </w:tcPr>
          <w:p w14:paraId="5100AA51">
            <w:pPr>
              <w:rPr>
                <w:rFonts w:ascii="宋体" w:hAnsi="宋体"/>
                <w:color w:val="000000" w:themeColor="text1"/>
                <w:szCs w:val="21"/>
                <w:highlight w:val="none"/>
                <w14:textFill>
                  <w14:solidFill>
                    <w14:schemeClr w14:val="tx1"/>
                  </w14:solidFill>
                </w14:textFill>
              </w:rPr>
            </w:pPr>
          </w:p>
        </w:tc>
        <w:tc>
          <w:tcPr>
            <w:tcW w:w="880" w:type="dxa"/>
          </w:tcPr>
          <w:p w14:paraId="12E740E6">
            <w:pPr>
              <w:rPr>
                <w:rFonts w:ascii="宋体" w:hAnsi="宋体"/>
                <w:color w:val="000000" w:themeColor="text1"/>
                <w:szCs w:val="21"/>
                <w:highlight w:val="none"/>
                <w14:textFill>
                  <w14:solidFill>
                    <w14:schemeClr w14:val="tx1"/>
                  </w14:solidFill>
                </w14:textFill>
              </w:rPr>
            </w:pPr>
          </w:p>
        </w:tc>
        <w:tc>
          <w:tcPr>
            <w:tcW w:w="1020" w:type="dxa"/>
          </w:tcPr>
          <w:p w14:paraId="78574FDE">
            <w:pPr>
              <w:rPr>
                <w:rFonts w:ascii="宋体" w:hAnsi="宋体"/>
                <w:color w:val="000000" w:themeColor="text1"/>
                <w:szCs w:val="21"/>
                <w:highlight w:val="none"/>
                <w14:textFill>
                  <w14:solidFill>
                    <w14:schemeClr w14:val="tx1"/>
                  </w14:solidFill>
                </w14:textFill>
              </w:rPr>
            </w:pPr>
          </w:p>
        </w:tc>
        <w:tc>
          <w:tcPr>
            <w:tcW w:w="1480" w:type="dxa"/>
          </w:tcPr>
          <w:p w14:paraId="71650A1F">
            <w:pPr>
              <w:rPr>
                <w:rFonts w:ascii="宋体" w:hAnsi="宋体"/>
                <w:color w:val="000000" w:themeColor="text1"/>
                <w:szCs w:val="21"/>
                <w:highlight w:val="none"/>
                <w14:textFill>
                  <w14:solidFill>
                    <w14:schemeClr w14:val="tx1"/>
                  </w14:solidFill>
                </w14:textFill>
              </w:rPr>
            </w:pPr>
          </w:p>
        </w:tc>
        <w:tc>
          <w:tcPr>
            <w:tcW w:w="1020" w:type="dxa"/>
          </w:tcPr>
          <w:p w14:paraId="5521A294">
            <w:pPr>
              <w:rPr>
                <w:rFonts w:ascii="宋体" w:hAnsi="宋体"/>
                <w:color w:val="000000" w:themeColor="text1"/>
                <w:szCs w:val="21"/>
                <w:highlight w:val="none"/>
                <w14:textFill>
                  <w14:solidFill>
                    <w14:schemeClr w14:val="tx1"/>
                  </w14:solidFill>
                </w14:textFill>
              </w:rPr>
            </w:pPr>
          </w:p>
        </w:tc>
        <w:tc>
          <w:tcPr>
            <w:tcW w:w="921" w:type="dxa"/>
          </w:tcPr>
          <w:p w14:paraId="61F1341F">
            <w:pPr>
              <w:rPr>
                <w:rFonts w:ascii="宋体" w:hAnsi="宋体"/>
                <w:color w:val="000000" w:themeColor="text1"/>
                <w:szCs w:val="21"/>
                <w:highlight w:val="none"/>
                <w14:textFill>
                  <w14:solidFill>
                    <w14:schemeClr w14:val="tx1"/>
                  </w14:solidFill>
                </w14:textFill>
              </w:rPr>
            </w:pPr>
          </w:p>
        </w:tc>
      </w:tr>
      <w:tr w14:paraId="41792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582A6D7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0D17AF4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24C5EED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58" w:type="dxa"/>
            <w:vAlign w:val="center"/>
          </w:tcPr>
          <w:p w14:paraId="2D823FD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80" w:type="dxa"/>
            <w:vAlign w:val="center"/>
          </w:tcPr>
          <w:p w14:paraId="40C2428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169074A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80" w:type="dxa"/>
            <w:vAlign w:val="center"/>
          </w:tcPr>
          <w:p w14:paraId="3F0D803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53D6EC4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21" w:type="dxa"/>
            <w:vAlign w:val="center"/>
          </w:tcPr>
          <w:p w14:paraId="2067A61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62B50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6AEBCFF7">
            <w:pPr>
              <w:rPr>
                <w:rFonts w:ascii="宋体" w:hAnsi="宋体"/>
                <w:color w:val="000000" w:themeColor="text1"/>
                <w:szCs w:val="21"/>
                <w:highlight w:val="none"/>
                <w14:textFill>
                  <w14:solidFill>
                    <w14:schemeClr w14:val="tx1"/>
                  </w14:solidFill>
                </w14:textFill>
              </w:rPr>
            </w:pPr>
          </w:p>
        </w:tc>
        <w:tc>
          <w:tcPr>
            <w:tcW w:w="1418" w:type="dxa"/>
          </w:tcPr>
          <w:p w14:paraId="43ABEC54">
            <w:pPr>
              <w:rPr>
                <w:rFonts w:ascii="宋体" w:hAnsi="宋体"/>
                <w:color w:val="000000" w:themeColor="text1"/>
                <w:szCs w:val="21"/>
                <w:highlight w:val="none"/>
                <w14:textFill>
                  <w14:solidFill>
                    <w14:schemeClr w14:val="tx1"/>
                  </w14:solidFill>
                </w14:textFill>
              </w:rPr>
            </w:pPr>
          </w:p>
        </w:tc>
        <w:tc>
          <w:tcPr>
            <w:tcW w:w="850" w:type="dxa"/>
          </w:tcPr>
          <w:p w14:paraId="49AAEEB4">
            <w:pPr>
              <w:rPr>
                <w:rFonts w:ascii="宋体" w:hAnsi="宋体"/>
                <w:color w:val="000000" w:themeColor="text1"/>
                <w:szCs w:val="21"/>
                <w:highlight w:val="none"/>
                <w14:textFill>
                  <w14:solidFill>
                    <w14:schemeClr w14:val="tx1"/>
                  </w14:solidFill>
                </w14:textFill>
              </w:rPr>
            </w:pPr>
          </w:p>
        </w:tc>
        <w:tc>
          <w:tcPr>
            <w:tcW w:w="1058" w:type="dxa"/>
          </w:tcPr>
          <w:p w14:paraId="1EE3AD6D">
            <w:pPr>
              <w:rPr>
                <w:rFonts w:ascii="宋体" w:hAnsi="宋体"/>
                <w:color w:val="000000" w:themeColor="text1"/>
                <w:szCs w:val="21"/>
                <w:highlight w:val="none"/>
                <w14:textFill>
                  <w14:solidFill>
                    <w14:schemeClr w14:val="tx1"/>
                  </w14:solidFill>
                </w14:textFill>
              </w:rPr>
            </w:pPr>
          </w:p>
        </w:tc>
        <w:tc>
          <w:tcPr>
            <w:tcW w:w="880" w:type="dxa"/>
          </w:tcPr>
          <w:p w14:paraId="109CC187">
            <w:pPr>
              <w:rPr>
                <w:rFonts w:ascii="宋体" w:hAnsi="宋体"/>
                <w:color w:val="000000" w:themeColor="text1"/>
                <w:szCs w:val="21"/>
                <w:highlight w:val="none"/>
                <w14:textFill>
                  <w14:solidFill>
                    <w14:schemeClr w14:val="tx1"/>
                  </w14:solidFill>
                </w14:textFill>
              </w:rPr>
            </w:pPr>
          </w:p>
        </w:tc>
        <w:tc>
          <w:tcPr>
            <w:tcW w:w="1020" w:type="dxa"/>
          </w:tcPr>
          <w:p w14:paraId="5FB1D53B">
            <w:pPr>
              <w:rPr>
                <w:rFonts w:ascii="宋体" w:hAnsi="宋体"/>
                <w:color w:val="000000" w:themeColor="text1"/>
                <w:szCs w:val="21"/>
                <w:highlight w:val="none"/>
                <w14:textFill>
                  <w14:solidFill>
                    <w14:schemeClr w14:val="tx1"/>
                  </w14:solidFill>
                </w14:textFill>
              </w:rPr>
            </w:pPr>
          </w:p>
        </w:tc>
        <w:tc>
          <w:tcPr>
            <w:tcW w:w="1480" w:type="dxa"/>
          </w:tcPr>
          <w:p w14:paraId="09368B0C">
            <w:pPr>
              <w:rPr>
                <w:rFonts w:ascii="宋体" w:hAnsi="宋体"/>
                <w:color w:val="000000" w:themeColor="text1"/>
                <w:szCs w:val="21"/>
                <w:highlight w:val="none"/>
                <w14:textFill>
                  <w14:solidFill>
                    <w14:schemeClr w14:val="tx1"/>
                  </w14:solidFill>
                </w14:textFill>
              </w:rPr>
            </w:pPr>
          </w:p>
        </w:tc>
        <w:tc>
          <w:tcPr>
            <w:tcW w:w="1020" w:type="dxa"/>
          </w:tcPr>
          <w:p w14:paraId="35CD8477">
            <w:pPr>
              <w:rPr>
                <w:rFonts w:ascii="宋体" w:hAnsi="宋体"/>
                <w:color w:val="000000" w:themeColor="text1"/>
                <w:szCs w:val="21"/>
                <w:highlight w:val="none"/>
                <w14:textFill>
                  <w14:solidFill>
                    <w14:schemeClr w14:val="tx1"/>
                  </w14:solidFill>
                </w14:textFill>
              </w:rPr>
            </w:pPr>
          </w:p>
        </w:tc>
        <w:tc>
          <w:tcPr>
            <w:tcW w:w="921" w:type="dxa"/>
          </w:tcPr>
          <w:p w14:paraId="3FC066F2">
            <w:pPr>
              <w:rPr>
                <w:rFonts w:ascii="宋体" w:hAnsi="宋体"/>
                <w:color w:val="000000" w:themeColor="text1"/>
                <w:szCs w:val="21"/>
                <w:highlight w:val="none"/>
                <w14:textFill>
                  <w14:solidFill>
                    <w14:schemeClr w14:val="tx1"/>
                  </w14:solidFill>
                </w14:textFill>
              </w:rPr>
            </w:pPr>
          </w:p>
        </w:tc>
      </w:tr>
      <w:tr w14:paraId="13363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5547ADD4">
            <w:pPr>
              <w:rPr>
                <w:rFonts w:ascii="宋体" w:hAnsi="宋体"/>
                <w:color w:val="000000" w:themeColor="text1"/>
                <w:szCs w:val="21"/>
                <w:highlight w:val="none"/>
                <w14:textFill>
                  <w14:solidFill>
                    <w14:schemeClr w14:val="tx1"/>
                  </w14:solidFill>
                </w14:textFill>
              </w:rPr>
            </w:pPr>
          </w:p>
        </w:tc>
        <w:tc>
          <w:tcPr>
            <w:tcW w:w="1418" w:type="dxa"/>
          </w:tcPr>
          <w:p w14:paraId="52B7745D">
            <w:pPr>
              <w:rPr>
                <w:rFonts w:ascii="宋体" w:hAnsi="宋体"/>
                <w:color w:val="000000" w:themeColor="text1"/>
                <w:szCs w:val="21"/>
                <w:highlight w:val="none"/>
                <w14:textFill>
                  <w14:solidFill>
                    <w14:schemeClr w14:val="tx1"/>
                  </w14:solidFill>
                </w14:textFill>
              </w:rPr>
            </w:pPr>
          </w:p>
        </w:tc>
        <w:tc>
          <w:tcPr>
            <w:tcW w:w="850" w:type="dxa"/>
          </w:tcPr>
          <w:p w14:paraId="75B55BD4">
            <w:pPr>
              <w:rPr>
                <w:rFonts w:ascii="宋体" w:hAnsi="宋体"/>
                <w:color w:val="000000" w:themeColor="text1"/>
                <w:szCs w:val="21"/>
                <w:highlight w:val="none"/>
                <w14:textFill>
                  <w14:solidFill>
                    <w14:schemeClr w14:val="tx1"/>
                  </w14:solidFill>
                </w14:textFill>
              </w:rPr>
            </w:pPr>
          </w:p>
        </w:tc>
        <w:tc>
          <w:tcPr>
            <w:tcW w:w="1058" w:type="dxa"/>
          </w:tcPr>
          <w:p w14:paraId="104CF444">
            <w:pPr>
              <w:rPr>
                <w:rFonts w:ascii="宋体" w:hAnsi="宋体"/>
                <w:color w:val="000000" w:themeColor="text1"/>
                <w:szCs w:val="21"/>
                <w:highlight w:val="none"/>
                <w14:textFill>
                  <w14:solidFill>
                    <w14:schemeClr w14:val="tx1"/>
                  </w14:solidFill>
                </w14:textFill>
              </w:rPr>
            </w:pPr>
          </w:p>
        </w:tc>
        <w:tc>
          <w:tcPr>
            <w:tcW w:w="880" w:type="dxa"/>
          </w:tcPr>
          <w:p w14:paraId="72B5DF74">
            <w:pPr>
              <w:rPr>
                <w:rFonts w:ascii="宋体" w:hAnsi="宋体"/>
                <w:color w:val="000000" w:themeColor="text1"/>
                <w:szCs w:val="21"/>
                <w:highlight w:val="none"/>
                <w14:textFill>
                  <w14:solidFill>
                    <w14:schemeClr w14:val="tx1"/>
                  </w14:solidFill>
                </w14:textFill>
              </w:rPr>
            </w:pPr>
          </w:p>
        </w:tc>
        <w:tc>
          <w:tcPr>
            <w:tcW w:w="1020" w:type="dxa"/>
          </w:tcPr>
          <w:p w14:paraId="37F0704A">
            <w:pPr>
              <w:rPr>
                <w:rFonts w:ascii="宋体" w:hAnsi="宋体"/>
                <w:color w:val="000000" w:themeColor="text1"/>
                <w:szCs w:val="21"/>
                <w:highlight w:val="none"/>
                <w14:textFill>
                  <w14:solidFill>
                    <w14:schemeClr w14:val="tx1"/>
                  </w14:solidFill>
                </w14:textFill>
              </w:rPr>
            </w:pPr>
          </w:p>
        </w:tc>
        <w:tc>
          <w:tcPr>
            <w:tcW w:w="1480" w:type="dxa"/>
          </w:tcPr>
          <w:p w14:paraId="5687499F">
            <w:pPr>
              <w:rPr>
                <w:rFonts w:ascii="宋体" w:hAnsi="宋体"/>
                <w:color w:val="000000" w:themeColor="text1"/>
                <w:szCs w:val="21"/>
                <w:highlight w:val="none"/>
                <w14:textFill>
                  <w14:solidFill>
                    <w14:schemeClr w14:val="tx1"/>
                  </w14:solidFill>
                </w14:textFill>
              </w:rPr>
            </w:pPr>
          </w:p>
        </w:tc>
        <w:tc>
          <w:tcPr>
            <w:tcW w:w="1020" w:type="dxa"/>
          </w:tcPr>
          <w:p w14:paraId="407C0939">
            <w:pPr>
              <w:rPr>
                <w:rFonts w:ascii="宋体" w:hAnsi="宋体"/>
                <w:color w:val="000000" w:themeColor="text1"/>
                <w:szCs w:val="21"/>
                <w:highlight w:val="none"/>
                <w14:textFill>
                  <w14:solidFill>
                    <w14:schemeClr w14:val="tx1"/>
                  </w14:solidFill>
                </w14:textFill>
              </w:rPr>
            </w:pPr>
          </w:p>
        </w:tc>
        <w:tc>
          <w:tcPr>
            <w:tcW w:w="921" w:type="dxa"/>
          </w:tcPr>
          <w:p w14:paraId="1AED4A89">
            <w:pPr>
              <w:rPr>
                <w:rFonts w:ascii="宋体" w:hAnsi="宋体"/>
                <w:color w:val="000000" w:themeColor="text1"/>
                <w:szCs w:val="21"/>
                <w:highlight w:val="none"/>
                <w14:textFill>
                  <w14:solidFill>
                    <w14:schemeClr w14:val="tx1"/>
                  </w14:solidFill>
                </w14:textFill>
              </w:rPr>
            </w:pPr>
          </w:p>
        </w:tc>
      </w:tr>
      <w:tr w14:paraId="08500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38EB6DD0">
            <w:pPr>
              <w:rPr>
                <w:rFonts w:ascii="宋体" w:hAnsi="宋体"/>
                <w:color w:val="000000" w:themeColor="text1"/>
                <w:szCs w:val="21"/>
                <w:highlight w:val="none"/>
                <w14:textFill>
                  <w14:solidFill>
                    <w14:schemeClr w14:val="tx1"/>
                  </w14:solidFill>
                </w14:textFill>
              </w:rPr>
            </w:pPr>
          </w:p>
        </w:tc>
        <w:tc>
          <w:tcPr>
            <w:tcW w:w="1418" w:type="dxa"/>
          </w:tcPr>
          <w:p w14:paraId="1BCC1381">
            <w:pPr>
              <w:rPr>
                <w:rFonts w:ascii="宋体" w:hAnsi="宋体"/>
                <w:color w:val="000000" w:themeColor="text1"/>
                <w:szCs w:val="21"/>
                <w:highlight w:val="none"/>
                <w14:textFill>
                  <w14:solidFill>
                    <w14:schemeClr w14:val="tx1"/>
                  </w14:solidFill>
                </w14:textFill>
              </w:rPr>
            </w:pPr>
          </w:p>
        </w:tc>
        <w:tc>
          <w:tcPr>
            <w:tcW w:w="850" w:type="dxa"/>
          </w:tcPr>
          <w:p w14:paraId="2DA7C470">
            <w:pPr>
              <w:rPr>
                <w:rFonts w:ascii="宋体" w:hAnsi="宋体"/>
                <w:color w:val="000000" w:themeColor="text1"/>
                <w:szCs w:val="21"/>
                <w:highlight w:val="none"/>
                <w14:textFill>
                  <w14:solidFill>
                    <w14:schemeClr w14:val="tx1"/>
                  </w14:solidFill>
                </w14:textFill>
              </w:rPr>
            </w:pPr>
          </w:p>
        </w:tc>
        <w:tc>
          <w:tcPr>
            <w:tcW w:w="1058" w:type="dxa"/>
          </w:tcPr>
          <w:p w14:paraId="79B7B233">
            <w:pPr>
              <w:rPr>
                <w:rFonts w:ascii="宋体" w:hAnsi="宋体"/>
                <w:color w:val="000000" w:themeColor="text1"/>
                <w:szCs w:val="21"/>
                <w:highlight w:val="none"/>
                <w14:textFill>
                  <w14:solidFill>
                    <w14:schemeClr w14:val="tx1"/>
                  </w14:solidFill>
                </w14:textFill>
              </w:rPr>
            </w:pPr>
          </w:p>
        </w:tc>
        <w:tc>
          <w:tcPr>
            <w:tcW w:w="880" w:type="dxa"/>
          </w:tcPr>
          <w:p w14:paraId="4845DB3B">
            <w:pPr>
              <w:rPr>
                <w:rFonts w:ascii="宋体" w:hAnsi="宋体"/>
                <w:color w:val="000000" w:themeColor="text1"/>
                <w:szCs w:val="21"/>
                <w:highlight w:val="none"/>
                <w14:textFill>
                  <w14:solidFill>
                    <w14:schemeClr w14:val="tx1"/>
                  </w14:solidFill>
                </w14:textFill>
              </w:rPr>
            </w:pPr>
          </w:p>
        </w:tc>
        <w:tc>
          <w:tcPr>
            <w:tcW w:w="1020" w:type="dxa"/>
          </w:tcPr>
          <w:p w14:paraId="1178DD49">
            <w:pPr>
              <w:rPr>
                <w:rFonts w:ascii="宋体" w:hAnsi="宋体"/>
                <w:color w:val="000000" w:themeColor="text1"/>
                <w:szCs w:val="21"/>
                <w:highlight w:val="none"/>
                <w14:textFill>
                  <w14:solidFill>
                    <w14:schemeClr w14:val="tx1"/>
                  </w14:solidFill>
                </w14:textFill>
              </w:rPr>
            </w:pPr>
          </w:p>
        </w:tc>
        <w:tc>
          <w:tcPr>
            <w:tcW w:w="1480" w:type="dxa"/>
          </w:tcPr>
          <w:p w14:paraId="1F5D9294">
            <w:pPr>
              <w:rPr>
                <w:rFonts w:ascii="宋体" w:hAnsi="宋体"/>
                <w:color w:val="000000" w:themeColor="text1"/>
                <w:szCs w:val="21"/>
                <w:highlight w:val="none"/>
                <w14:textFill>
                  <w14:solidFill>
                    <w14:schemeClr w14:val="tx1"/>
                  </w14:solidFill>
                </w14:textFill>
              </w:rPr>
            </w:pPr>
          </w:p>
        </w:tc>
        <w:tc>
          <w:tcPr>
            <w:tcW w:w="1020" w:type="dxa"/>
          </w:tcPr>
          <w:p w14:paraId="0889F1FC">
            <w:pPr>
              <w:rPr>
                <w:rFonts w:ascii="宋体" w:hAnsi="宋体"/>
                <w:color w:val="000000" w:themeColor="text1"/>
                <w:szCs w:val="21"/>
                <w:highlight w:val="none"/>
                <w14:textFill>
                  <w14:solidFill>
                    <w14:schemeClr w14:val="tx1"/>
                  </w14:solidFill>
                </w14:textFill>
              </w:rPr>
            </w:pPr>
          </w:p>
        </w:tc>
        <w:tc>
          <w:tcPr>
            <w:tcW w:w="921" w:type="dxa"/>
          </w:tcPr>
          <w:p w14:paraId="27F8A026">
            <w:pPr>
              <w:rPr>
                <w:rFonts w:ascii="宋体" w:hAnsi="宋体"/>
                <w:color w:val="000000" w:themeColor="text1"/>
                <w:szCs w:val="21"/>
                <w:highlight w:val="none"/>
                <w14:textFill>
                  <w14:solidFill>
                    <w14:schemeClr w14:val="tx1"/>
                  </w14:solidFill>
                </w14:textFill>
              </w:rPr>
            </w:pPr>
          </w:p>
        </w:tc>
      </w:tr>
      <w:tr w14:paraId="13879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5FC935C2">
            <w:pPr>
              <w:rPr>
                <w:rFonts w:ascii="宋体" w:hAnsi="宋体"/>
                <w:color w:val="000000" w:themeColor="text1"/>
                <w:szCs w:val="21"/>
                <w:highlight w:val="none"/>
                <w14:textFill>
                  <w14:solidFill>
                    <w14:schemeClr w14:val="tx1"/>
                  </w14:solidFill>
                </w14:textFill>
              </w:rPr>
            </w:pPr>
          </w:p>
        </w:tc>
        <w:tc>
          <w:tcPr>
            <w:tcW w:w="1418" w:type="dxa"/>
          </w:tcPr>
          <w:p w14:paraId="756B6DCA">
            <w:pPr>
              <w:rPr>
                <w:rFonts w:ascii="宋体" w:hAnsi="宋体"/>
                <w:color w:val="000000" w:themeColor="text1"/>
                <w:szCs w:val="21"/>
                <w:highlight w:val="none"/>
                <w14:textFill>
                  <w14:solidFill>
                    <w14:schemeClr w14:val="tx1"/>
                  </w14:solidFill>
                </w14:textFill>
              </w:rPr>
            </w:pPr>
          </w:p>
        </w:tc>
        <w:tc>
          <w:tcPr>
            <w:tcW w:w="850" w:type="dxa"/>
          </w:tcPr>
          <w:p w14:paraId="73B422DF">
            <w:pPr>
              <w:rPr>
                <w:rFonts w:ascii="宋体" w:hAnsi="宋体"/>
                <w:color w:val="000000" w:themeColor="text1"/>
                <w:szCs w:val="21"/>
                <w:highlight w:val="none"/>
                <w14:textFill>
                  <w14:solidFill>
                    <w14:schemeClr w14:val="tx1"/>
                  </w14:solidFill>
                </w14:textFill>
              </w:rPr>
            </w:pPr>
          </w:p>
        </w:tc>
        <w:tc>
          <w:tcPr>
            <w:tcW w:w="1058" w:type="dxa"/>
          </w:tcPr>
          <w:p w14:paraId="36E3DA46">
            <w:pPr>
              <w:rPr>
                <w:rFonts w:ascii="宋体" w:hAnsi="宋体"/>
                <w:color w:val="000000" w:themeColor="text1"/>
                <w:szCs w:val="21"/>
                <w:highlight w:val="none"/>
                <w14:textFill>
                  <w14:solidFill>
                    <w14:schemeClr w14:val="tx1"/>
                  </w14:solidFill>
                </w14:textFill>
              </w:rPr>
            </w:pPr>
          </w:p>
        </w:tc>
        <w:tc>
          <w:tcPr>
            <w:tcW w:w="880" w:type="dxa"/>
          </w:tcPr>
          <w:p w14:paraId="6D4A165A">
            <w:pPr>
              <w:rPr>
                <w:rFonts w:ascii="宋体" w:hAnsi="宋体"/>
                <w:color w:val="000000" w:themeColor="text1"/>
                <w:szCs w:val="21"/>
                <w:highlight w:val="none"/>
                <w14:textFill>
                  <w14:solidFill>
                    <w14:schemeClr w14:val="tx1"/>
                  </w14:solidFill>
                </w14:textFill>
              </w:rPr>
            </w:pPr>
          </w:p>
        </w:tc>
        <w:tc>
          <w:tcPr>
            <w:tcW w:w="1020" w:type="dxa"/>
          </w:tcPr>
          <w:p w14:paraId="1F406ECB">
            <w:pPr>
              <w:rPr>
                <w:rFonts w:ascii="宋体" w:hAnsi="宋体"/>
                <w:color w:val="000000" w:themeColor="text1"/>
                <w:szCs w:val="21"/>
                <w:highlight w:val="none"/>
                <w14:textFill>
                  <w14:solidFill>
                    <w14:schemeClr w14:val="tx1"/>
                  </w14:solidFill>
                </w14:textFill>
              </w:rPr>
            </w:pPr>
          </w:p>
        </w:tc>
        <w:tc>
          <w:tcPr>
            <w:tcW w:w="1480" w:type="dxa"/>
          </w:tcPr>
          <w:p w14:paraId="1DEE0CAF">
            <w:pPr>
              <w:rPr>
                <w:rFonts w:ascii="宋体" w:hAnsi="宋体"/>
                <w:color w:val="000000" w:themeColor="text1"/>
                <w:szCs w:val="21"/>
                <w:highlight w:val="none"/>
                <w14:textFill>
                  <w14:solidFill>
                    <w14:schemeClr w14:val="tx1"/>
                  </w14:solidFill>
                </w14:textFill>
              </w:rPr>
            </w:pPr>
          </w:p>
        </w:tc>
        <w:tc>
          <w:tcPr>
            <w:tcW w:w="1020" w:type="dxa"/>
          </w:tcPr>
          <w:p w14:paraId="4B5D17D9">
            <w:pPr>
              <w:rPr>
                <w:rFonts w:ascii="宋体" w:hAnsi="宋体"/>
                <w:color w:val="000000" w:themeColor="text1"/>
                <w:szCs w:val="21"/>
                <w:highlight w:val="none"/>
                <w14:textFill>
                  <w14:solidFill>
                    <w14:schemeClr w14:val="tx1"/>
                  </w14:solidFill>
                </w14:textFill>
              </w:rPr>
            </w:pPr>
          </w:p>
        </w:tc>
        <w:tc>
          <w:tcPr>
            <w:tcW w:w="921" w:type="dxa"/>
          </w:tcPr>
          <w:p w14:paraId="684215B4">
            <w:pPr>
              <w:rPr>
                <w:rFonts w:ascii="宋体" w:hAnsi="宋体"/>
                <w:color w:val="000000" w:themeColor="text1"/>
                <w:szCs w:val="21"/>
                <w:highlight w:val="none"/>
                <w14:textFill>
                  <w14:solidFill>
                    <w14:schemeClr w14:val="tx1"/>
                  </w14:solidFill>
                </w14:textFill>
              </w:rPr>
            </w:pPr>
          </w:p>
        </w:tc>
      </w:tr>
      <w:tr w14:paraId="26D54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7857318F">
            <w:pPr>
              <w:rPr>
                <w:rFonts w:ascii="宋体" w:hAnsi="宋体"/>
                <w:color w:val="000000" w:themeColor="text1"/>
                <w:szCs w:val="21"/>
                <w:highlight w:val="none"/>
                <w14:textFill>
                  <w14:solidFill>
                    <w14:schemeClr w14:val="tx1"/>
                  </w14:solidFill>
                </w14:textFill>
              </w:rPr>
            </w:pPr>
          </w:p>
        </w:tc>
        <w:tc>
          <w:tcPr>
            <w:tcW w:w="1418" w:type="dxa"/>
          </w:tcPr>
          <w:p w14:paraId="0959C316">
            <w:pPr>
              <w:rPr>
                <w:rFonts w:ascii="宋体" w:hAnsi="宋体"/>
                <w:color w:val="000000" w:themeColor="text1"/>
                <w:szCs w:val="21"/>
                <w:highlight w:val="none"/>
                <w14:textFill>
                  <w14:solidFill>
                    <w14:schemeClr w14:val="tx1"/>
                  </w14:solidFill>
                </w14:textFill>
              </w:rPr>
            </w:pPr>
          </w:p>
        </w:tc>
        <w:tc>
          <w:tcPr>
            <w:tcW w:w="850" w:type="dxa"/>
          </w:tcPr>
          <w:p w14:paraId="2B963F11">
            <w:pPr>
              <w:rPr>
                <w:rFonts w:ascii="宋体" w:hAnsi="宋体"/>
                <w:color w:val="000000" w:themeColor="text1"/>
                <w:szCs w:val="21"/>
                <w:highlight w:val="none"/>
                <w14:textFill>
                  <w14:solidFill>
                    <w14:schemeClr w14:val="tx1"/>
                  </w14:solidFill>
                </w14:textFill>
              </w:rPr>
            </w:pPr>
          </w:p>
        </w:tc>
        <w:tc>
          <w:tcPr>
            <w:tcW w:w="1058" w:type="dxa"/>
          </w:tcPr>
          <w:p w14:paraId="0FDFDB67">
            <w:pPr>
              <w:rPr>
                <w:rFonts w:ascii="宋体" w:hAnsi="宋体"/>
                <w:color w:val="000000" w:themeColor="text1"/>
                <w:szCs w:val="21"/>
                <w:highlight w:val="none"/>
                <w14:textFill>
                  <w14:solidFill>
                    <w14:schemeClr w14:val="tx1"/>
                  </w14:solidFill>
                </w14:textFill>
              </w:rPr>
            </w:pPr>
          </w:p>
        </w:tc>
        <w:tc>
          <w:tcPr>
            <w:tcW w:w="880" w:type="dxa"/>
          </w:tcPr>
          <w:p w14:paraId="70010559">
            <w:pPr>
              <w:rPr>
                <w:rFonts w:ascii="宋体" w:hAnsi="宋体"/>
                <w:color w:val="000000" w:themeColor="text1"/>
                <w:szCs w:val="21"/>
                <w:highlight w:val="none"/>
                <w14:textFill>
                  <w14:solidFill>
                    <w14:schemeClr w14:val="tx1"/>
                  </w14:solidFill>
                </w14:textFill>
              </w:rPr>
            </w:pPr>
          </w:p>
        </w:tc>
        <w:tc>
          <w:tcPr>
            <w:tcW w:w="1020" w:type="dxa"/>
          </w:tcPr>
          <w:p w14:paraId="619BA75D">
            <w:pPr>
              <w:rPr>
                <w:rFonts w:ascii="宋体" w:hAnsi="宋体"/>
                <w:color w:val="000000" w:themeColor="text1"/>
                <w:szCs w:val="21"/>
                <w:highlight w:val="none"/>
                <w14:textFill>
                  <w14:solidFill>
                    <w14:schemeClr w14:val="tx1"/>
                  </w14:solidFill>
                </w14:textFill>
              </w:rPr>
            </w:pPr>
          </w:p>
        </w:tc>
        <w:tc>
          <w:tcPr>
            <w:tcW w:w="1480" w:type="dxa"/>
          </w:tcPr>
          <w:p w14:paraId="02584402">
            <w:pPr>
              <w:rPr>
                <w:rFonts w:ascii="宋体" w:hAnsi="宋体"/>
                <w:color w:val="000000" w:themeColor="text1"/>
                <w:szCs w:val="21"/>
                <w:highlight w:val="none"/>
                <w14:textFill>
                  <w14:solidFill>
                    <w14:schemeClr w14:val="tx1"/>
                  </w14:solidFill>
                </w14:textFill>
              </w:rPr>
            </w:pPr>
          </w:p>
        </w:tc>
        <w:tc>
          <w:tcPr>
            <w:tcW w:w="1020" w:type="dxa"/>
          </w:tcPr>
          <w:p w14:paraId="4508FDB6">
            <w:pPr>
              <w:rPr>
                <w:rFonts w:ascii="宋体" w:hAnsi="宋体"/>
                <w:color w:val="000000" w:themeColor="text1"/>
                <w:szCs w:val="21"/>
                <w:highlight w:val="none"/>
                <w14:textFill>
                  <w14:solidFill>
                    <w14:schemeClr w14:val="tx1"/>
                  </w14:solidFill>
                </w14:textFill>
              </w:rPr>
            </w:pPr>
          </w:p>
        </w:tc>
        <w:tc>
          <w:tcPr>
            <w:tcW w:w="921" w:type="dxa"/>
          </w:tcPr>
          <w:p w14:paraId="1D6B8DDF">
            <w:pPr>
              <w:rPr>
                <w:rFonts w:ascii="宋体" w:hAnsi="宋体"/>
                <w:color w:val="000000" w:themeColor="text1"/>
                <w:szCs w:val="21"/>
                <w:highlight w:val="none"/>
                <w14:textFill>
                  <w14:solidFill>
                    <w14:schemeClr w14:val="tx1"/>
                  </w14:solidFill>
                </w14:textFill>
              </w:rPr>
            </w:pPr>
          </w:p>
        </w:tc>
      </w:tr>
      <w:tr w14:paraId="3D3EE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39A95925">
            <w:pPr>
              <w:rPr>
                <w:rFonts w:ascii="宋体" w:hAnsi="宋体"/>
                <w:color w:val="000000" w:themeColor="text1"/>
                <w:szCs w:val="21"/>
                <w:highlight w:val="none"/>
                <w14:textFill>
                  <w14:solidFill>
                    <w14:schemeClr w14:val="tx1"/>
                  </w14:solidFill>
                </w14:textFill>
              </w:rPr>
            </w:pPr>
          </w:p>
        </w:tc>
        <w:tc>
          <w:tcPr>
            <w:tcW w:w="1418" w:type="dxa"/>
          </w:tcPr>
          <w:p w14:paraId="57CC1FAC">
            <w:pPr>
              <w:rPr>
                <w:rFonts w:ascii="宋体" w:hAnsi="宋体"/>
                <w:color w:val="000000" w:themeColor="text1"/>
                <w:szCs w:val="21"/>
                <w:highlight w:val="none"/>
                <w14:textFill>
                  <w14:solidFill>
                    <w14:schemeClr w14:val="tx1"/>
                  </w14:solidFill>
                </w14:textFill>
              </w:rPr>
            </w:pPr>
          </w:p>
        </w:tc>
        <w:tc>
          <w:tcPr>
            <w:tcW w:w="850" w:type="dxa"/>
          </w:tcPr>
          <w:p w14:paraId="7752BF6A">
            <w:pPr>
              <w:rPr>
                <w:rFonts w:ascii="宋体" w:hAnsi="宋体"/>
                <w:color w:val="000000" w:themeColor="text1"/>
                <w:szCs w:val="21"/>
                <w:highlight w:val="none"/>
                <w14:textFill>
                  <w14:solidFill>
                    <w14:schemeClr w14:val="tx1"/>
                  </w14:solidFill>
                </w14:textFill>
              </w:rPr>
            </w:pPr>
          </w:p>
        </w:tc>
        <w:tc>
          <w:tcPr>
            <w:tcW w:w="1058" w:type="dxa"/>
          </w:tcPr>
          <w:p w14:paraId="1BB3CC5D">
            <w:pPr>
              <w:rPr>
                <w:rFonts w:ascii="宋体" w:hAnsi="宋体"/>
                <w:color w:val="000000" w:themeColor="text1"/>
                <w:szCs w:val="21"/>
                <w:highlight w:val="none"/>
                <w14:textFill>
                  <w14:solidFill>
                    <w14:schemeClr w14:val="tx1"/>
                  </w14:solidFill>
                </w14:textFill>
              </w:rPr>
            </w:pPr>
          </w:p>
        </w:tc>
        <w:tc>
          <w:tcPr>
            <w:tcW w:w="880" w:type="dxa"/>
          </w:tcPr>
          <w:p w14:paraId="5C08BB44">
            <w:pPr>
              <w:rPr>
                <w:rFonts w:ascii="宋体" w:hAnsi="宋体"/>
                <w:color w:val="000000" w:themeColor="text1"/>
                <w:szCs w:val="21"/>
                <w:highlight w:val="none"/>
                <w14:textFill>
                  <w14:solidFill>
                    <w14:schemeClr w14:val="tx1"/>
                  </w14:solidFill>
                </w14:textFill>
              </w:rPr>
            </w:pPr>
          </w:p>
        </w:tc>
        <w:tc>
          <w:tcPr>
            <w:tcW w:w="1020" w:type="dxa"/>
          </w:tcPr>
          <w:p w14:paraId="6745776A">
            <w:pPr>
              <w:rPr>
                <w:rFonts w:ascii="宋体" w:hAnsi="宋体"/>
                <w:color w:val="000000" w:themeColor="text1"/>
                <w:szCs w:val="21"/>
                <w:highlight w:val="none"/>
                <w14:textFill>
                  <w14:solidFill>
                    <w14:schemeClr w14:val="tx1"/>
                  </w14:solidFill>
                </w14:textFill>
              </w:rPr>
            </w:pPr>
          </w:p>
        </w:tc>
        <w:tc>
          <w:tcPr>
            <w:tcW w:w="1480" w:type="dxa"/>
          </w:tcPr>
          <w:p w14:paraId="734C5178">
            <w:pPr>
              <w:rPr>
                <w:rFonts w:ascii="宋体" w:hAnsi="宋体"/>
                <w:color w:val="000000" w:themeColor="text1"/>
                <w:szCs w:val="21"/>
                <w:highlight w:val="none"/>
                <w14:textFill>
                  <w14:solidFill>
                    <w14:schemeClr w14:val="tx1"/>
                  </w14:solidFill>
                </w14:textFill>
              </w:rPr>
            </w:pPr>
          </w:p>
        </w:tc>
        <w:tc>
          <w:tcPr>
            <w:tcW w:w="1020" w:type="dxa"/>
          </w:tcPr>
          <w:p w14:paraId="2661E68A">
            <w:pPr>
              <w:rPr>
                <w:rFonts w:ascii="宋体" w:hAnsi="宋体"/>
                <w:color w:val="000000" w:themeColor="text1"/>
                <w:szCs w:val="21"/>
                <w:highlight w:val="none"/>
                <w14:textFill>
                  <w14:solidFill>
                    <w14:schemeClr w14:val="tx1"/>
                  </w14:solidFill>
                </w14:textFill>
              </w:rPr>
            </w:pPr>
          </w:p>
        </w:tc>
        <w:tc>
          <w:tcPr>
            <w:tcW w:w="921" w:type="dxa"/>
          </w:tcPr>
          <w:p w14:paraId="6618C13F">
            <w:pPr>
              <w:rPr>
                <w:rFonts w:ascii="宋体" w:hAnsi="宋体"/>
                <w:color w:val="000000" w:themeColor="text1"/>
                <w:szCs w:val="21"/>
                <w:highlight w:val="none"/>
                <w14:textFill>
                  <w14:solidFill>
                    <w14:schemeClr w14:val="tx1"/>
                  </w14:solidFill>
                </w14:textFill>
              </w:rPr>
            </w:pPr>
          </w:p>
        </w:tc>
      </w:tr>
    </w:tbl>
    <w:p w14:paraId="5D081327">
      <w:pPr>
        <w:pStyle w:val="5"/>
        <w:ind w:firstLine="0" w:firstLineChars="0"/>
        <w:rPr>
          <w:b/>
          <w:color w:val="000000" w:themeColor="text1"/>
          <w:highlight w:val="none"/>
          <w14:textFill>
            <w14:solidFill>
              <w14:schemeClr w14:val="tx1"/>
            </w14:solidFill>
          </w14:textFill>
        </w:rPr>
      </w:pPr>
    </w:p>
    <w:p w14:paraId="6224BB07">
      <w:pPr>
        <w:pStyle w:val="5"/>
        <w:ind w:firstLine="21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41FCCC46">
      <w:pPr>
        <w:adjustRightInd w:val="0"/>
        <w:snapToGrid w:val="0"/>
        <w:spacing w:line="480" w:lineRule="exact"/>
        <w:rPr>
          <w:rFonts w:ascii="黑体" w:hAnsi="宋体" w:eastAsia="黑体"/>
          <w:b/>
          <w:color w:val="000000" w:themeColor="text1"/>
          <w:sz w:val="24"/>
          <w:highlight w:val="none"/>
          <w14:textFill>
            <w14:solidFill>
              <w14:schemeClr w14:val="tx1"/>
            </w14:solidFill>
          </w14:textFill>
        </w:rPr>
      </w:pPr>
      <w:r>
        <w:rPr>
          <w:rFonts w:hint="eastAsia" w:ascii="黑体" w:hAnsi="宋体" w:eastAsia="黑体"/>
          <w:b/>
          <w:color w:val="000000" w:themeColor="text1"/>
          <w:sz w:val="24"/>
          <w:highlight w:val="none"/>
          <w14:textFill>
            <w14:solidFill>
              <w14:schemeClr w14:val="tx1"/>
            </w14:solidFill>
          </w14:textFill>
        </w:rPr>
        <w:t>附</w:t>
      </w:r>
      <w:bookmarkStart w:id="495" w:name="_Toc296346729"/>
      <w:bookmarkStart w:id="496" w:name="_Toc267261699"/>
      <w:bookmarkStart w:id="497" w:name="_Toc296944567"/>
      <w:bookmarkStart w:id="498" w:name="_Toc296347227"/>
      <w:bookmarkStart w:id="499" w:name="_Toc296891268"/>
      <w:bookmarkStart w:id="500" w:name="_Toc296503228"/>
      <w:bookmarkStart w:id="501" w:name="_Toc296891056"/>
      <w:r>
        <w:rPr>
          <w:rFonts w:hint="eastAsia" w:ascii="黑体" w:hAnsi="宋体" w:eastAsia="黑体"/>
          <w:b/>
          <w:color w:val="000000" w:themeColor="text1"/>
          <w:sz w:val="24"/>
          <w:highlight w:val="none"/>
          <w14:textFill>
            <w14:solidFill>
              <w14:schemeClr w14:val="tx1"/>
            </w14:solidFill>
          </w14:textFill>
        </w:rPr>
        <w:t>件5：</w:t>
      </w:r>
    </w:p>
    <w:bookmarkEnd w:id="495"/>
    <w:bookmarkEnd w:id="496"/>
    <w:bookmarkEnd w:id="497"/>
    <w:bookmarkEnd w:id="498"/>
    <w:bookmarkEnd w:id="499"/>
    <w:bookmarkEnd w:id="500"/>
    <w:bookmarkEnd w:id="501"/>
    <w:p w14:paraId="236A9C55">
      <w:pPr>
        <w:jc w:val="center"/>
        <w:rPr>
          <w:rFonts w:ascii="黑体" w:hAnsi="宋体" w:eastAsia="黑体"/>
          <w:b/>
          <w:color w:val="000000" w:themeColor="text1"/>
          <w:sz w:val="24"/>
          <w:highlight w:val="none"/>
          <w14:textFill>
            <w14:solidFill>
              <w14:schemeClr w14:val="tx1"/>
            </w14:solidFill>
          </w14:textFill>
        </w:rPr>
      </w:pPr>
      <w:r>
        <w:rPr>
          <w:rFonts w:hint="eastAsia" w:ascii="黑体" w:hAnsi="宋体" w:eastAsia="黑体"/>
          <w:b/>
          <w:color w:val="000000" w:themeColor="text1"/>
          <w:sz w:val="24"/>
          <w:highlight w:val="none"/>
          <w14:textFill>
            <w14:solidFill>
              <w14:schemeClr w14:val="tx1"/>
            </w14:solidFill>
          </w14:textFill>
        </w:rPr>
        <w:t>承包人主要施工管理人员表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71"/>
        <w:gridCol w:w="1418"/>
        <w:gridCol w:w="1134"/>
        <w:gridCol w:w="1134"/>
        <w:gridCol w:w="4252"/>
      </w:tblGrid>
      <w:tr w14:paraId="7E0A6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13" w:hRule="atLeast"/>
          <w:jc w:val="center"/>
        </w:trPr>
        <w:tc>
          <w:tcPr>
            <w:tcW w:w="1871" w:type="dxa"/>
            <w:vAlign w:val="center"/>
          </w:tcPr>
          <w:p w14:paraId="7F0F78FA">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名    称</w:t>
            </w:r>
          </w:p>
        </w:tc>
        <w:tc>
          <w:tcPr>
            <w:tcW w:w="1418" w:type="dxa"/>
            <w:vAlign w:val="center"/>
          </w:tcPr>
          <w:p w14:paraId="7E3EABB6">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姓名</w:t>
            </w:r>
          </w:p>
        </w:tc>
        <w:tc>
          <w:tcPr>
            <w:tcW w:w="1134" w:type="dxa"/>
            <w:vAlign w:val="center"/>
          </w:tcPr>
          <w:p w14:paraId="13BB0E5E">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职务</w:t>
            </w:r>
          </w:p>
        </w:tc>
        <w:tc>
          <w:tcPr>
            <w:tcW w:w="1134" w:type="dxa"/>
            <w:vAlign w:val="center"/>
          </w:tcPr>
          <w:p w14:paraId="63D87B89">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职称</w:t>
            </w:r>
          </w:p>
        </w:tc>
        <w:tc>
          <w:tcPr>
            <w:tcW w:w="4252" w:type="dxa"/>
            <w:vAlign w:val="center"/>
          </w:tcPr>
          <w:p w14:paraId="20C0345F">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主要资历、经验及承担过的项目</w:t>
            </w:r>
          </w:p>
        </w:tc>
      </w:tr>
      <w:tr w14:paraId="484A2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14:paraId="3ABBF0D1">
            <w:pPr>
              <w:pStyle w:val="2"/>
              <w:keepNext/>
              <w:spacing w:line="440" w:lineRule="exact"/>
              <w:ind w:left="420" w:right="63"/>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一、总部人员</w:t>
            </w:r>
          </w:p>
        </w:tc>
      </w:tr>
      <w:tr w14:paraId="4B1D6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430439F3">
            <w:pPr>
              <w:pStyle w:val="2"/>
              <w:keepNext/>
              <w:spacing w:line="440" w:lineRule="exact"/>
              <w:ind w:left="420" w:right="63"/>
              <w:jc w:val="center"/>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项目主管</w:t>
            </w:r>
          </w:p>
        </w:tc>
        <w:tc>
          <w:tcPr>
            <w:tcW w:w="1418" w:type="dxa"/>
            <w:vAlign w:val="center"/>
          </w:tcPr>
          <w:p w14:paraId="0819620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54DE3BA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3608EBE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2F0A519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4201C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72D4D413">
            <w:pPr>
              <w:pStyle w:val="2"/>
              <w:keepNext/>
              <w:spacing w:line="440" w:lineRule="exact"/>
              <w:ind w:left="420" w:right="63"/>
              <w:jc w:val="center"/>
              <w:rPr>
                <w:rFonts w:ascii="宋体" w:hAnsi="宋体"/>
                <w:color w:val="000000" w:themeColor="text1"/>
                <w:szCs w:val="21"/>
                <w:highlight w:val="none"/>
                <w14:textFill>
                  <w14:solidFill>
                    <w14:schemeClr w14:val="tx1"/>
                  </w14:solidFill>
                </w14:textFill>
              </w:rPr>
            </w:pPr>
          </w:p>
        </w:tc>
        <w:tc>
          <w:tcPr>
            <w:tcW w:w="1418" w:type="dxa"/>
            <w:vAlign w:val="center"/>
          </w:tcPr>
          <w:p w14:paraId="0F00E54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6961469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4CA2456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595530B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150EA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0618A4D8">
            <w:pPr>
              <w:pStyle w:val="2"/>
              <w:keepNext/>
              <w:spacing w:line="440" w:lineRule="exact"/>
              <w:ind w:left="420" w:right="63"/>
              <w:jc w:val="center"/>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其他人员</w:t>
            </w:r>
          </w:p>
        </w:tc>
        <w:tc>
          <w:tcPr>
            <w:tcW w:w="1418" w:type="dxa"/>
            <w:vAlign w:val="center"/>
          </w:tcPr>
          <w:p w14:paraId="56A0525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430F421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7EFA133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2CBFB3F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3F5F3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7E75E5A8">
            <w:pPr>
              <w:pStyle w:val="2"/>
              <w:keepNext/>
              <w:spacing w:line="440" w:lineRule="exact"/>
              <w:ind w:left="420" w:right="63"/>
              <w:jc w:val="center"/>
              <w:rPr>
                <w:rFonts w:ascii="宋体" w:hAnsi="宋体"/>
                <w:color w:val="000000" w:themeColor="text1"/>
                <w:szCs w:val="21"/>
                <w:highlight w:val="none"/>
                <w14:textFill>
                  <w14:solidFill>
                    <w14:schemeClr w14:val="tx1"/>
                  </w14:solidFill>
                </w14:textFill>
              </w:rPr>
            </w:pPr>
          </w:p>
        </w:tc>
        <w:tc>
          <w:tcPr>
            <w:tcW w:w="1418" w:type="dxa"/>
            <w:vAlign w:val="center"/>
          </w:tcPr>
          <w:p w14:paraId="4DC37CE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3901694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74F1557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7C130C1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61F3A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14:paraId="08B37979">
            <w:pPr>
              <w:pStyle w:val="2"/>
              <w:keepNext/>
              <w:spacing w:line="440" w:lineRule="exact"/>
              <w:ind w:left="420" w:right="63"/>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二、现场人员</w:t>
            </w:r>
          </w:p>
        </w:tc>
      </w:tr>
      <w:tr w14:paraId="2982A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21058AB0">
            <w:pPr>
              <w:pStyle w:val="2"/>
              <w:keepNext/>
              <w:spacing w:line="440" w:lineRule="exact"/>
              <w:ind w:left="420" w:right="63"/>
              <w:jc w:val="center"/>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项目经理</w:t>
            </w:r>
          </w:p>
        </w:tc>
        <w:tc>
          <w:tcPr>
            <w:tcW w:w="1418" w:type="dxa"/>
            <w:vAlign w:val="center"/>
          </w:tcPr>
          <w:p w14:paraId="561C71D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231797D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772C129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24EE8BF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09E52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76C4B26F">
            <w:pPr>
              <w:pStyle w:val="2"/>
              <w:keepNext/>
              <w:spacing w:line="440" w:lineRule="exact"/>
              <w:ind w:left="420" w:right="63"/>
              <w:jc w:val="center"/>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项目副经理</w:t>
            </w:r>
          </w:p>
        </w:tc>
        <w:tc>
          <w:tcPr>
            <w:tcW w:w="1418" w:type="dxa"/>
            <w:vAlign w:val="center"/>
          </w:tcPr>
          <w:p w14:paraId="628B6D0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504561D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354B7EA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6773810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16342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5DAAED1A">
            <w:pPr>
              <w:pStyle w:val="2"/>
              <w:keepNext/>
              <w:spacing w:line="440" w:lineRule="exact"/>
              <w:ind w:left="420" w:right="63"/>
              <w:jc w:val="center"/>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技术负责人</w:t>
            </w:r>
          </w:p>
        </w:tc>
        <w:tc>
          <w:tcPr>
            <w:tcW w:w="1418" w:type="dxa"/>
            <w:vAlign w:val="center"/>
          </w:tcPr>
          <w:p w14:paraId="7693F2D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61762B0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7CD6D36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2D89778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0ADE5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3523782B">
            <w:pPr>
              <w:pStyle w:val="2"/>
              <w:keepNext/>
              <w:spacing w:line="440" w:lineRule="exact"/>
              <w:ind w:left="420" w:right="63"/>
              <w:jc w:val="center"/>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造价管理</w:t>
            </w:r>
          </w:p>
        </w:tc>
        <w:tc>
          <w:tcPr>
            <w:tcW w:w="1418" w:type="dxa"/>
            <w:vAlign w:val="center"/>
          </w:tcPr>
          <w:p w14:paraId="061849B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3C3322F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40F1B01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24E8144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5C59B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6497DA5E">
            <w:pPr>
              <w:pStyle w:val="2"/>
              <w:keepNext/>
              <w:spacing w:line="440" w:lineRule="exact"/>
              <w:ind w:left="420" w:right="63"/>
              <w:jc w:val="center"/>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质量管理</w:t>
            </w:r>
          </w:p>
        </w:tc>
        <w:tc>
          <w:tcPr>
            <w:tcW w:w="1418" w:type="dxa"/>
            <w:vAlign w:val="center"/>
          </w:tcPr>
          <w:p w14:paraId="22999A1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5BD102E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402EB35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495CEA8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10D34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558C53C8">
            <w:pPr>
              <w:pStyle w:val="2"/>
              <w:keepNext/>
              <w:spacing w:line="440" w:lineRule="exact"/>
              <w:ind w:left="420" w:right="63"/>
              <w:jc w:val="center"/>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材料管理</w:t>
            </w:r>
          </w:p>
        </w:tc>
        <w:tc>
          <w:tcPr>
            <w:tcW w:w="1418" w:type="dxa"/>
            <w:vAlign w:val="center"/>
          </w:tcPr>
          <w:p w14:paraId="259FDF4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13B97D8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1163D1C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1BBD7A0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0FE0E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2A6C1830">
            <w:pPr>
              <w:pStyle w:val="2"/>
              <w:keepNext/>
              <w:spacing w:line="440" w:lineRule="exact"/>
              <w:ind w:left="420" w:right="63"/>
              <w:jc w:val="center"/>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计划管理</w:t>
            </w:r>
          </w:p>
        </w:tc>
        <w:tc>
          <w:tcPr>
            <w:tcW w:w="1418" w:type="dxa"/>
            <w:vAlign w:val="center"/>
          </w:tcPr>
          <w:p w14:paraId="085F8B1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7BED6ED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3B4D1C7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6C4B06E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1B876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01380606">
            <w:pPr>
              <w:pStyle w:val="2"/>
              <w:keepNext/>
              <w:spacing w:line="440" w:lineRule="exact"/>
              <w:ind w:left="420" w:right="63"/>
              <w:jc w:val="center"/>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安全管理</w:t>
            </w:r>
          </w:p>
        </w:tc>
        <w:tc>
          <w:tcPr>
            <w:tcW w:w="1418" w:type="dxa"/>
            <w:vAlign w:val="center"/>
          </w:tcPr>
          <w:p w14:paraId="574FF7D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37C1BE0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6407930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6A75E83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14645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9" w:hRule="atLeast"/>
          <w:jc w:val="center"/>
        </w:trPr>
        <w:tc>
          <w:tcPr>
            <w:tcW w:w="1871" w:type="dxa"/>
            <w:vMerge w:val="restart"/>
            <w:vAlign w:val="center"/>
          </w:tcPr>
          <w:p w14:paraId="4166E227">
            <w:pPr>
              <w:pStyle w:val="2"/>
              <w:keepNext/>
              <w:spacing w:line="440" w:lineRule="exact"/>
              <w:ind w:left="420" w:right="63"/>
              <w:jc w:val="center"/>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其他人员</w:t>
            </w:r>
          </w:p>
        </w:tc>
        <w:tc>
          <w:tcPr>
            <w:tcW w:w="1418" w:type="dxa"/>
            <w:vAlign w:val="center"/>
          </w:tcPr>
          <w:p w14:paraId="4F51FAF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227B501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3ED3916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02564EB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0276E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49" w:hRule="atLeast"/>
          <w:jc w:val="center"/>
        </w:trPr>
        <w:tc>
          <w:tcPr>
            <w:tcW w:w="1871" w:type="dxa"/>
            <w:vMerge w:val="continue"/>
            <w:vAlign w:val="center"/>
          </w:tcPr>
          <w:p w14:paraId="4F927C3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17791CB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0F2200D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2C76971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6A99F05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72364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02" w:hRule="atLeast"/>
          <w:jc w:val="center"/>
        </w:trPr>
        <w:tc>
          <w:tcPr>
            <w:tcW w:w="1871" w:type="dxa"/>
            <w:vMerge w:val="continue"/>
            <w:vAlign w:val="center"/>
          </w:tcPr>
          <w:p w14:paraId="074A799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6B9A199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7EA85C9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32EACE3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0820824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52946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9" w:hRule="atLeast"/>
          <w:jc w:val="center"/>
        </w:trPr>
        <w:tc>
          <w:tcPr>
            <w:tcW w:w="1871" w:type="dxa"/>
            <w:vMerge w:val="continue"/>
            <w:vAlign w:val="center"/>
          </w:tcPr>
          <w:p w14:paraId="7D8A313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579B4A6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2A713DC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03CACD7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778032A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437CC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4" w:hRule="atLeast"/>
          <w:jc w:val="center"/>
        </w:trPr>
        <w:tc>
          <w:tcPr>
            <w:tcW w:w="1871" w:type="dxa"/>
            <w:vMerge w:val="continue"/>
            <w:vAlign w:val="center"/>
          </w:tcPr>
          <w:p w14:paraId="19CA950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18EBD03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51D5BF2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53F91A5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13197DE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5863F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0FD9065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154A934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6DB2430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53D9D29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355B82D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bl>
    <w:p w14:paraId="046D8B97">
      <w:pPr>
        <w:pStyle w:val="5"/>
        <w:ind w:firstLine="0" w:firstLineChars="0"/>
        <w:rPr>
          <w:b/>
          <w:color w:val="000000" w:themeColor="text1"/>
          <w:highlight w:val="none"/>
          <w14:textFill>
            <w14:solidFill>
              <w14:schemeClr w14:val="tx1"/>
            </w14:solidFill>
          </w14:textFill>
        </w:rPr>
      </w:pPr>
    </w:p>
    <w:p w14:paraId="6D77E60E">
      <w:pPr>
        <w:pStyle w:val="5"/>
        <w:ind w:firstLine="21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2A0F3906">
      <w:pPr>
        <w:adjustRightInd w:val="0"/>
        <w:snapToGrid w:val="0"/>
        <w:spacing w:line="480" w:lineRule="exact"/>
        <w:rPr>
          <w:rFonts w:ascii="黑体" w:hAnsi="宋体" w:eastAsia="黑体"/>
          <w:b/>
          <w:color w:val="000000" w:themeColor="text1"/>
          <w:sz w:val="24"/>
          <w:highlight w:val="none"/>
          <w14:textFill>
            <w14:solidFill>
              <w14:schemeClr w14:val="tx1"/>
            </w14:solidFill>
          </w14:textFill>
        </w:rPr>
      </w:pPr>
      <w:bookmarkStart w:id="502" w:name="_Toc12720_WPSOffice_Level2"/>
      <w:r>
        <w:rPr>
          <w:rFonts w:hint="eastAsia" w:ascii="黑体" w:hAnsi="宋体" w:eastAsia="黑体"/>
          <w:b/>
          <w:color w:val="000000" w:themeColor="text1"/>
          <w:sz w:val="24"/>
          <w:highlight w:val="none"/>
          <w14:textFill>
            <w14:solidFill>
              <w14:schemeClr w14:val="tx1"/>
            </w14:solidFill>
          </w14:textFill>
        </w:rPr>
        <w:t>附</w:t>
      </w:r>
      <w:bookmarkStart w:id="503" w:name="_Toc296503229"/>
      <w:bookmarkStart w:id="504" w:name="_Toc296891057"/>
      <w:bookmarkStart w:id="505" w:name="_Toc296346730"/>
      <w:bookmarkStart w:id="506" w:name="_Toc296944568"/>
      <w:bookmarkStart w:id="507" w:name="_Toc296347228"/>
      <w:bookmarkStart w:id="508" w:name="_Toc296891269"/>
      <w:r>
        <w:rPr>
          <w:rFonts w:hint="eastAsia" w:ascii="黑体" w:hAnsi="宋体" w:eastAsia="黑体"/>
          <w:b/>
          <w:color w:val="000000" w:themeColor="text1"/>
          <w:sz w:val="24"/>
          <w:highlight w:val="none"/>
          <w14:textFill>
            <w14:solidFill>
              <w14:schemeClr w14:val="tx1"/>
            </w14:solidFill>
          </w14:textFill>
        </w:rPr>
        <w:t>件6：</w:t>
      </w:r>
      <w:bookmarkEnd w:id="502"/>
    </w:p>
    <w:bookmarkEnd w:id="503"/>
    <w:bookmarkEnd w:id="504"/>
    <w:bookmarkEnd w:id="505"/>
    <w:bookmarkEnd w:id="506"/>
    <w:bookmarkEnd w:id="507"/>
    <w:bookmarkEnd w:id="508"/>
    <w:p w14:paraId="196442E9">
      <w:pPr>
        <w:jc w:val="center"/>
        <w:rPr>
          <w:rFonts w:ascii="黑体" w:hAnsi="宋体" w:eastAsia="黑体"/>
          <w:b/>
          <w:color w:val="000000" w:themeColor="text1"/>
          <w:sz w:val="24"/>
          <w:highlight w:val="none"/>
          <w14:textFill>
            <w14:solidFill>
              <w14:schemeClr w14:val="tx1"/>
            </w14:solidFill>
          </w14:textFill>
        </w:rPr>
      </w:pPr>
      <w:r>
        <w:rPr>
          <w:rFonts w:hint="eastAsia" w:ascii="黑体" w:hAnsi="宋体" w:eastAsia="黑体"/>
          <w:b/>
          <w:color w:val="000000" w:themeColor="text1"/>
          <w:sz w:val="24"/>
          <w:highlight w:val="none"/>
          <w14:textFill>
            <w14:solidFill>
              <w14:schemeClr w14:val="tx1"/>
            </w14:solidFill>
          </w14:textFill>
        </w:rPr>
        <w:t>分包人主要施工管理人员表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71"/>
        <w:gridCol w:w="1418"/>
        <w:gridCol w:w="1134"/>
        <w:gridCol w:w="1134"/>
        <w:gridCol w:w="4252"/>
      </w:tblGrid>
      <w:tr w14:paraId="4C67D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71" w:hRule="atLeast"/>
          <w:jc w:val="center"/>
        </w:trPr>
        <w:tc>
          <w:tcPr>
            <w:tcW w:w="1871" w:type="dxa"/>
            <w:vAlign w:val="center"/>
          </w:tcPr>
          <w:p w14:paraId="451E2C2B">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名    称</w:t>
            </w:r>
          </w:p>
        </w:tc>
        <w:tc>
          <w:tcPr>
            <w:tcW w:w="1418" w:type="dxa"/>
            <w:vAlign w:val="center"/>
          </w:tcPr>
          <w:p w14:paraId="3B51FB9F">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姓名</w:t>
            </w:r>
          </w:p>
        </w:tc>
        <w:tc>
          <w:tcPr>
            <w:tcW w:w="1134" w:type="dxa"/>
            <w:vAlign w:val="center"/>
          </w:tcPr>
          <w:p w14:paraId="1186566A">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职务</w:t>
            </w:r>
          </w:p>
        </w:tc>
        <w:tc>
          <w:tcPr>
            <w:tcW w:w="1134" w:type="dxa"/>
            <w:vAlign w:val="center"/>
          </w:tcPr>
          <w:p w14:paraId="573CBDA7">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职称</w:t>
            </w:r>
          </w:p>
        </w:tc>
        <w:tc>
          <w:tcPr>
            <w:tcW w:w="4252" w:type="dxa"/>
            <w:vAlign w:val="center"/>
          </w:tcPr>
          <w:p w14:paraId="71C97052">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主要资历、经验及承担过的项目</w:t>
            </w:r>
          </w:p>
        </w:tc>
      </w:tr>
      <w:tr w14:paraId="03E56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14:paraId="159FCCA3">
            <w:pPr>
              <w:pStyle w:val="2"/>
              <w:keepNext/>
              <w:spacing w:line="440" w:lineRule="exact"/>
              <w:ind w:left="420" w:right="63"/>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一、总部人员</w:t>
            </w:r>
          </w:p>
        </w:tc>
      </w:tr>
      <w:tr w14:paraId="1C613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4ADF06D8">
            <w:pPr>
              <w:pStyle w:val="2"/>
              <w:keepNext/>
              <w:spacing w:line="440" w:lineRule="exact"/>
              <w:ind w:left="420" w:right="63"/>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项目主管</w:t>
            </w:r>
          </w:p>
        </w:tc>
        <w:tc>
          <w:tcPr>
            <w:tcW w:w="1418" w:type="dxa"/>
            <w:vAlign w:val="center"/>
          </w:tcPr>
          <w:p w14:paraId="3101A34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6E0D7EF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0A6D089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7993551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73D25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17FDD07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7E7AAD5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3BFE0EF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1D7FC15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62A3EE1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33044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1EE0BCF7">
            <w:pPr>
              <w:pStyle w:val="2"/>
              <w:keepNext/>
              <w:spacing w:line="440" w:lineRule="exact"/>
              <w:ind w:left="420" w:right="63"/>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其他人员</w:t>
            </w:r>
          </w:p>
        </w:tc>
        <w:tc>
          <w:tcPr>
            <w:tcW w:w="1418" w:type="dxa"/>
            <w:vAlign w:val="center"/>
          </w:tcPr>
          <w:p w14:paraId="0F13FFE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42DCF86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5E87580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2802B1F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123BA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5A2E660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1AD5CC7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7BAAD28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0AB8935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46995EA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26697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14:paraId="0A99D3FE">
            <w:pPr>
              <w:pStyle w:val="2"/>
              <w:keepNext/>
              <w:spacing w:line="440" w:lineRule="exact"/>
              <w:ind w:left="420" w:right="63"/>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二、现场人员</w:t>
            </w:r>
          </w:p>
        </w:tc>
      </w:tr>
      <w:tr w14:paraId="457B8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21AACB24">
            <w:pPr>
              <w:pStyle w:val="2"/>
              <w:keepNext/>
              <w:spacing w:line="440" w:lineRule="exact"/>
              <w:ind w:left="420" w:right="63"/>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项目经理</w:t>
            </w:r>
          </w:p>
        </w:tc>
        <w:tc>
          <w:tcPr>
            <w:tcW w:w="1418" w:type="dxa"/>
            <w:vAlign w:val="center"/>
          </w:tcPr>
          <w:p w14:paraId="31BC62C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17E7596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3F69686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4E97966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46588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08CCAE1E">
            <w:pPr>
              <w:pStyle w:val="2"/>
              <w:keepNext/>
              <w:spacing w:line="440" w:lineRule="exact"/>
              <w:ind w:left="420" w:right="63"/>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项目副经理</w:t>
            </w:r>
          </w:p>
        </w:tc>
        <w:tc>
          <w:tcPr>
            <w:tcW w:w="1418" w:type="dxa"/>
            <w:vAlign w:val="center"/>
          </w:tcPr>
          <w:p w14:paraId="46F5FA6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082C1E7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1F9C8E3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1E8B49C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56C5A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5CF69C34">
            <w:pPr>
              <w:pStyle w:val="2"/>
              <w:keepNext/>
              <w:spacing w:line="440" w:lineRule="exact"/>
              <w:ind w:left="420" w:right="63"/>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技术负责人</w:t>
            </w:r>
          </w:p>
        </w:tc>
        <w:tc>
          <w:tcPr>
            <w:tcW w:w="1418" w:type="dxa"/>
            <w:vAlign w:val="center"/>
          </w:tcPr>
          <w:p w14:paraId="200CD27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15956D5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2146825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2839441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18577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28121F8E">
            <w:pPr>
              <w:pStyle w:val="2"/>
              <w:keepNext/>
              <w:spacing w:line="440" w:lineRule="exact"/>
              <w:ind w:left="420" w:right="63"/>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造价管理</w:t>
            </w:r>
          </w:p>
        </w:tc>
        <w:tc>
          <w:tcPr>
            <w:tcW w:w="1418" w:type="dxa"/>
            <w:vAlign w:val="center"/>
          </w:tcPr>
          <w:p w14:paraId="3C403AD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3C77C01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698B43B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4B71DE8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26E7B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51103868">
            <w:pPr>
              <w:pStyle w:val="2"/>
              <w:keepNext/>
              <w:spacing w:line="440" w:lineRule="exact"/>
              <w:ind w:left="420" w:right="63"/>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质量管理</w:t>
            </w:r>
          </w:p>
        </w:tc>
        <w:tc>
          <w:tcPr>
            <w:tcW w:w="1418" w:type="dxa"/>
            <w:vAlign w:val="center"/>
          </w:tcPr>
          <w:p w14:paraId="2FA6284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367E6D2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5AA4C82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2075934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47A2A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53E2928B">
            <w:pPr>
              <w:pStyle w:val="2"/>
              <w:keepNext/>
              <w:spacing w:line="440" w:lineRule="exact"/>
              <w:ind w:left="420" w:right="63"/>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材料管理</w:t>
            </w:r>
          </w:p>
        </w:tc>
        <w:tc>
          <w:tcPr>
            <w:tcW w:w="1418" w:type="dxa"/>
            <w:vAlign w:val="center"/>
          </w:tcPr>
          <w:p w14:paraId="38C7752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0A7DF7C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7ECE1F2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748488D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50977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59490B96">
            <w:pPr>
              <w:pStyle w:val="2"/>
              <w:keepNext/>
              <w:spacing w:line="440" w:lineRule="exact"/>
              <w:ind w:left="420" w:right="63"/>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计划管理</w:t>
            </w:r>
          </w:p>
        </w:tc>
        <w:tc>
          <w:tcPr>
            <w:tcW w:w="1418" w:type="dxa"/>
            <w:vAlign w:val="center"/>
          </w:tcPr>
          <w:p w14:paraId="4387FAB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1D46F17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73FAF7E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47EC279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39FA1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7F693BE6">
            <w:pPr>
              <w:pStyle w:val="2"/>
              <w:keepNext/>
              <w:spacing w:line="440" w:lineRule="exact"/>
              <w:ind w:left="420" w:right="63"/>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安全管理</w:t>
            </w:r>
          </w:p>
        </w:tc>
        <w:tc>
          <w:tcPr>
            <w:tcW w:w="1418" w:type="dxa"/>
            <w:vAlign w:val="center"/>
          </w:tcPr>
          <w:p w14:paraId="0ACA0E8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59DC2B6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506C097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52B7CDB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28F34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restart"/>
            <w:vAlign w:val="center"/>
          </w:tcPr>
          <w:p w14:paraId="5C40DF1C">
            <w:pPr>
              <w:pStyle w:val="2"/>
              <w:keepNext/>
              <w:spacing w:line="440" w:lineRule="exact"/>
              <w:ind w:left="420" w:right="63"/>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其他人员</w:t>
            </w:r>
          </w:p>
        </w:tc>
        <w:tc>
          <w:tcPr>
            <w:tcW w:w="1418" w:type="dxa"/>
            <w:vAlign w:val="center"/>
          </w:tcPr>
          <w:p w14:paraId="70528F1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7B3E574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42A1C8D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4BBE551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793DA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341200C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6DB3463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5E53C9E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0739850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278F5CD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49E71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2E7B990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1F3205A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3DE706F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7366A8C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074D80D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3C0CC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661F908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445C93D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7E01CD9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4848D17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37C41F9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6D770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223D39B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7E7DFDE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3456A99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78829D7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2946D5A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16B65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7169C37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286FEC6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667CDEB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5E05C29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0B47239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bl>
    <w:p w14:paraId="31183B0F">
      <w:pPr>
        <w:pStyle w:val="5"/>
        <w:ind w:firstLine="0" w:firstLineChars="0"/>
        <w:rPr>
          <w:b/>
          <w:color w:val="000000" w:themeColor="text1"/>
          <w:highlight w:val="none"/>
          <w14:textFill>
            <w14:solidFill>
              <w14:schemeClr w14:val="tx1"/>
            </w14:solidFill>
          </w14:textFill>
        </w:rPr>
      </w:pPr>
    </w:p>
    <w:p w14:paraId="447F2543">
      <w:pPr>
        <w:pStyle w:val="5"/>
        <w:ind w:firstLine="21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373F05FD">
      <w:pPr>
        <w:adjustRightInd w:val="0"/>
        <w:snapToGrid w:val="0"/>
        <w:spacing w:line="480" w:lineRule="exact"/>
        <w:rPr>
          <w:rFonts w:ascii="黑体" w:hAnsi="宋体" w:eastAsia="黑体"/>
          <w:b/>
          <w:color w:val="000000" w:themeColor="text1"/>
          <w:sz w:val="24"/>
          <w:highlight w:val="none"/>
          <w14:textFill>
            <w14:solidFill>
              <w14:schemeClr w14:val="tx1"/>
            </w14:solidFill>
          </w14:textFill>
        </w:rPr>
      </w:pPr>
      <w:bookmarkStart w:id="509" w:name="_Toc10953_WPSOffice_Level2"/>
      <w:r>
        <w:rPr>
          <w:rFonts w:hint="eastAsia" w:ascii="黑体" w:hAnsi="宋体" w:eastAsia="黑体"/>
          <w:b/>
          <w:color w:val="000000" w:themeColor="text1"/>
          <w:sz w:val="24"/>
          <w:highlight w:val="none"/>
          <w14:textFill>
            <w14:solidFill>
              <w14:schemeClr w14:val="tx1"/>
            </w14:solidFill>
          </w14:textFill>
        </w:rPr>
        <w:t>附件7：</w:t>
      </w:r>
      <w:bookmarkEnd w:id="509"/>
    </w:p>
    <w:p w14:paraId="180007B9">
      <w:pPr>
        <w:jc w:val="center"/>
        <w:rPr>
          <w:rFonts w:ascii="黑体" w:hAnsi="宋体" w:eastAsia="黑体"/>
          <w:b/>
          <w:color w:val="000000" w:themeColor="text1"/>
          <w:sz w:val="24"/>
          <w:highlight w:val="none"/>
          <w14:textFill>
            <w14:solidFill>
              <w14:schemeClr w14:val="tx1"/>
            </w14:solidFill>
          </w14:textFill>
        </w:rPr>
      </w:pPr>
      <w:bookmarkStart w:id="510" w:name="_Toc12359_WPSOffice_Level2"/>
      <w:r>
        <w:rPr>
          <w:rFonts w:hint="eastAsia" w:ascii="黑体" w:hAnsi="宋体" w:eastAsia="黑体"/>
          <w:b/>
          <w:color w:val="000000" w:themeColor="text1"/>
          <w:sz w:val="24"/>
          <w:highlight w:val="none"/>
          <w14:textFill>
            <w14:solidFill>
              <w14:schemeClr w14:val="tx1"/>
            </w14:solidFill>
          </w14:textFill>
        </w:rPr>
        <w:t>7-1：材料暂估价表</w:t>
      </w:r>
      <w:bookmarkEnd w:id="510"/>
    </w:p>
    <w:tbl>
      <w:tblPr>
        <w:tblStyle w:val="6"/>
        <w:tblW w:w="9073" w:type="dxa"/>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114D69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32" w:hRule="atLeast"/>
        </w:trPr>
        <w:tc>
          <w:tcPr>
            <w:tcW w:w="993" w:type="dxa"/>
            <w:vAlign w:val="center"/>
          </w:tcPr>
          <w:p w14:paraId="7214E273">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序号</w:t>
            </w:r>
          </w:p>
        </w:tc>
        <w:tc>
          <w:tcPr>
            <w:tcW w:w="1984" w:type="dxa"/>
            <w:vAlign w:val="center"/>
          </w:tcPr>
          <w:p w14:paraId="42CE6B74">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名称</w:t>
            </w:r>
          </w:p>
        </w:tc>
        <w:tc>
          <w:tcPr>
            <w:tcW w:w="851" w:type="dxa"/>
            <w:vAlign w:val="center"/>
          </w:tcPr>
          <w:p w14:paraId="34EAF11B">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单位</w:t>
            </w:r>
          </w:p>
        </w:tc>
        <w:tc>
          <w:tcPr>
            <w:tcW w:w="774" w:type="dxa"/>
            <w:vAlign w:val="center"/>
          </w:tcPr>
          <w:p w14:paraId="08878631">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数量</w:t>
            </w:r>
          </w:p>
        </w:tc>
        <w:tc>
          <w:tcPr>
            <w:tcW w:w="1352" w:type="dxa"/>
            <w:vAlign w:val="center"/>
          </w:tcPr>
          <w:p w14:paraId="585E5688">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单价</w:t>
            </w:r>
            <w:r>
              <w:rPr>
                <w:rFonts w:hint="eastAsia" w:ascii="宋体" w:hAnsi="宋体"/>
                <w:b/>
                <w:color w:val="000000" w:themeColor="text1"/>
                <w:szCs w:val="21"/>
                <w:highlight w:val="none"/>
                <w14:textFill>
                  <w14:solidFill>
                    <w14:schemeClr w14:val="tx1"/>
                  </w14:solidFill>
                </w14:textFill>
              </w:rPr>
              <w:t>（元）</w:t>
            </w:r>
          </w:p>
        </w:tc>
        <w:tc>
          <w:tcPr>
            <w:tcW w:w="1418" w:type="dxa"/>
            <w:vAlign w:val="center"/>
          </w:tcPr>
          <w:p w14:paraId="2BAA0E97">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合价</w:t>
            </w:r>
            <w:r>
              <w:rPr>
                <w:rFonts w:hint="eastAsia" w:ascii="宋体" w:hAnsi="宋体"/>
                <w:b/>
                <w:color w:val="000000" w:themeColor="text1"/>
                <w:szCs w:val="21"/>
                <w:highlight w:val="none"/>
                <w14:textFill>
                  <w14:solidFill>
                    <w14:schemeClr w14:val="tx1"/>
                  </w14:solidFill>
                </w14:textFill>
              </w:rPr>
              <w:t>（元）</w:t>
            </w:r>
          </w:p>
        </w:tc>
        <w:tc>
          <w:tcPr>
            <w:tcW w:w="1701" w:type="dxa"/>
            <w:vAlign w:val="center"/>
          </w:tcPr>
          <w:p w14:paraId="367FD3F6">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备注</w:t>
            </w:r>
          </w:p>
        </w:tc>
      </w:tr>
      <w:tr w14:paraId="6EFFB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3954D73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20BF7FE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7D5F9E9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1E8716A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249DB90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1A812EA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22A5669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15C18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3F58159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5513FDC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1D71A43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671B458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5DC3488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1676FE4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2A7BB49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35A59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C7F441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2C3BFB7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053D18F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541B898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21C8F2D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576D670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37B4F91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3A124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1E5F2F1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1B4CAC5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66CE63E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6D1547E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7E747DC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21442B1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1347C83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38176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7B7E2FC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3E58CC3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7495B93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3AA8F1C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3DA1D18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1D57550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6DBD535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0C469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3BC333B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69B2B90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2982364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27CC859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702FF45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6C6FC5B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14AE99B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5376B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67F1D01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29E5859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5CD4110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47AE050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7B302B5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10BC847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21420BA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38A2F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FB869D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5316A93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320D782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7E28F88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3FA46E4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36A025B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68FF6BC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66CF5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65296A6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5E5FC78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5553787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40A2E15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79F6CDB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476C1F5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33D402D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408D1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557A5C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34C9CF0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71B6A1B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1E191DD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7F7910C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628A774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50A8AB4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5617C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601E2A9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3F154E4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645EE3F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0F63340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6C4157A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763E7D3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66C156C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27026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7184639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06B995E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74F94A9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2D75456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2D624F5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303A5E5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1F43EA1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63CC3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17A6FB3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2885E33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3431FDB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4CBA910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510A7C4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24E1A27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7887398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13B21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C58058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4E4F595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7F1A6D5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7FC3B42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79CB515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168FF50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75EC295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0CD0A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60CF91B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1B68DD1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48652AA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71BCAC0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2EC7CE9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7A32FB7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4FFEF03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5094E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3725F62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6F23BA2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2C7CAB0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106E732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5C0E146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1F3B871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3301B97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62095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7539FE2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17FA683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6CBF906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5287EE5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50BE441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75A7669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0375D66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bl>
    <w:p w14:paraId="3FC78F7E">
      <w:pPr>
        <w:pStyle w:val="5"/>
        <w:ind w:firstLine="0" w:firstLineChars="0"/>
        <w:rPr>
          <w:b/>
          <w:color w:val="000000" w:themeColor="text1"/>
          <w:highlight w:val="none"/>
          <w14:textFill>
            <w14:solidFill>
              <w14:schemeClr w14:val="tx1"/>
            </w14:solidFill>
          </w14:textFill>
        </w:rPr>
      </w:pPr>
    </w:p>
    <w:p w14:paraId="0D75C4D1">
      <w:pPr>
        <w:pStyle w:val="5"/>
        <w:ind w:firstLine="21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0F223D26">
      <w:pPr>
        <w:jc w:val="center"/>
        <w:rPr>
          <w:rFonts w:ascii="黑体" w:hAnsi="宋体" w:eastAsia="黑体"/>
          <w:b/>
          <w:color w:val="000000" w:themeColor="text1"/>
          <w:sz w:val="24"/>
          <w:highlight w:val="none"/>
          <w14:textFill>
            <w14:solidFill>
              <w14:schemeClr w14:val="tx1"/>
            </w14:solidFill>
          </w14:textFill>
        </w:rPr>
      </w:pPr>
      <w:r>
        <w:rPr>
          <w:rFonts w:hint="eastAsia" w:ascii="黑体" w:hAnsi="宋体" w:eastAsia="黑体"/>
          <w:b/>
          <w:color w:val="000000" w:themeColor="text1"/>
          <w:sz w:val="24"/>
          <w:highlight w:val="none"/>
          <w14:textFill>
            <w14:solidFill>
              <w14:schemeClr w14:val="tx1"/>
            </w14:solidFill>
          </w14:textFill>
        </w:rPr>
        <w:t>7-2：工程设备暂估价表</w:t>
      </w:r>
    </w:p>
    <w:tbl>
      <w:tblPr>
        <w:tblStyle w:val="6"/>
        <w:tblW w:w="0" w:type="auto"/>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6D389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80" w:hRule="atLeast"/>
        </w:trPr>
        <w:tc>
          <w:tcPr>
            <w:tcW w:w="993" w:type="dxa"/>
            <w:vAlign w:val="center"/>
          </w:tcPr>
          <w:p w14:paraId="5F1D93A2">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序号</w:t>
            </w:r>
          </w:p>
        </w:tc>
        <w:tc>
          <w:tcPr>
            <w:tcW w:w="1984" w:type="dxa"/>
            <w:vAlign w:val="center"/>
          </w:tcPr>
          <w:p w14:paraId="3794911B">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名称</w:t>
            </w:r>
          </w:p>
        </w:tc>
        <w:tc>
          <w:tcPr>
            <w:tcW w:w="851" w:type="dxa"/>
            <w:vAlign w:val="center"/>
          </w:tcPr>
          <w:p w14:paraId="4E426D74">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单位</w:t>
            </w:r>
          </w:p>
        </w:tc>
        <w:tc>
          <w:tcPr>
            <w:tcW w:w="774" w:type="dxa"/>
            <w:vAlign w:val="center"/>
          </w:tcPr>
          <w:p w14:paraId="7CB55AFB">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数量</w:t>
            </w:r>
          </w:p>
        </w:tc>
        <w:tc>
          <w:tcPr>
            <w:tcW w:w="1352" w:type="dxa"/>
            <w:vAlign w:val="center"/>
          </w:tcPr>
          <w:p w14:paraId="024FB03E">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单价</w:t>
            </w:r>
            <w:r>
              <w:rPr>
                <w:rFonts w:hint="eastAsia" w:ascii="宋体" w:hAnsi="宋体"/>
                <w:b/>
                <w:color w:val="000000" w:themeColor="text1"/>
                <w:szCs w:val="21"/>
                <w:highlight w:val="none"/>
                <w14:textFill>
                  <w14:solidFill>
                    <w14:schemeClr w14:val="tx1"/>
                  </w14:solidFill>
                </w14:textFill>
              </w:rPr>
              <w:t>（元）</w:t>
            </w:r>
          </w:p>
        </w:tc>
        <w:tc>
          <w:tcPr>
            <w:tcW w:w="1418" w:type="dxa"/>
            <w:vAlign w:val="center"/>
          </w:tcPr>
          <w:p w14:paraId="1F941574">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合价</w:t>
            </w:r>
            <w:r>
              <w:rPr>
                <w:rFonts w:hint="eastAsia" w:ascii="宋体" w:hAnsi="宋体"/>
                <w:b/>
                <w:color w:val="000000" w:themeColor="text1"/>
                <w:szCs w:val="21"/>
                <w:highlight w:val="none"/>
                <w14:textFill>
                  <w14:solidFill>
                    <w14:schemeClr w14:val="tx1"/>
                  </w14:solidFill>
                </w14:textFill>
              </w:rPr>
              <w:t>（元）</w:t>
            </w:r>
          </w:p>
        </w:tc>
        <w:tc>
          <w:tcPr>
            <w:tcW w:w="1701" w:type="dxa"/>
            <w:vAlign w:val="center"/>
          </w:tcPr>
          <w:p w14:paraId="764D1989">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备注</w:t>
            </w:r>
          </w:p>
        </w:tc>
      </w:tr>
      <w:tr w14:paraId="5A891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4BFDEF4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588293F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6E8BF9A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6EA196C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28ECAF5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3C9505F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67C2F8C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5B002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444DD6A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157B3D3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5CC7D50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786F140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170D7F0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08D567F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1257F03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74221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335B775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4605DA8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3EDD082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7121411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2D1ACA0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124E6BA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7FEBBA3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6A569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0E7B12C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159AA8B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3780235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3312B2C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3EDA35B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31849C3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4C03EED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47BFD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7D7D55F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6AA8769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1EA3645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60BFF00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50CA30A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401D0A5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37C1C68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3F03F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70F6A19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05A7B9E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0980F12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06B816B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208CA98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122CC62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4301F7D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7DF2F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00F2D6F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743342F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44C738E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6D120AD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14B233E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6C7A84E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5F17CE2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7C852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12E60F0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6ED752E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580D673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4927D81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141DFC2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23A365C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3DF9544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13F3D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1C0616D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5731F90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654612C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5D9A669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345DF0F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648D618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4935FC9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60968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0D1C79D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7E76AA2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2AAD80A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324BEA1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2EF9980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2A0B4B7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6F4155E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2085F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75BED9C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5792BA8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248080F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0036FCE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34B61E5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2245881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01D6BB5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08169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1DCDAAB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085997A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19306E9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172B1F3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3C32221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0A43C14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34E26D0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34952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6827E2F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7D5FC80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362A882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514560C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6A38035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72CC62D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768DF8C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49FEC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550BDA7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45824B2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76E5497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798D72A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3EC4538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5941D7A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2B072A3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2C229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546DC17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2794B7F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7670362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4948772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332B701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2A6486B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63CC2F3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67AF7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52B448C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31085E8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128F112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18C3F79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25EBCBD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7232433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7FC1A32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7F42F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679B3F4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5CB4CDA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48E9C84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7BF94F9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70260D9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29C74C2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476E3D1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536FA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472E69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5C58042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75976E2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076B1D6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5C62248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2A5E0A8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33C9690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bl>
    <w:p w14:paraId="30A9FAC0">
      <w:pPr>
        <w:pStyle w:val="5"/>
        <w:ind w:firstLine="0" w:firstLineChars="0"/>
        <w:rPr>
          <w:b/>
          <w:color w:val="000000" w:themeColor="text1"/>
          <w:highlight w:val="none"/>
          <w14:textFill>
            <w14:solidFill>
              <w14:schemeClr w14:val="tx1"/>
            </w14:solidFill>
          </w14:textFill>
        </w:rPr>
      </w:pPr>
    </w:p>
    <w:p w14:paraId="1C998B0F">
      <w:pPr>
        <w:pStyle w:val="5"/>
        <w:ind w:firstLine="21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696A2473">
      <w:pPr>
        <w:jc w:val="center"/>
        <w:rPr>
          <w:rFonts w:ascii="黑体" w:hAnsi="宋体" w:eastAsia="黑体"/>
          <w:b/>
          <w:color w:val="000000" w:themeColor="text1"/>
          <w:sz w:val="24"/>
          <w:highlight w:val="none"/>
          <w14:textFill>
            <w14:solidFill>
              <w14:schemeClr w14:val="tx1"/>
            </w14:solidFill>
          </w14:textFill>
        </w:rPr>
      </w:pPr>
      <w:bookmarkStart w:id="511" w:name="_Toc27977_WPSOffice_Level2"/>
      <w:r>
        <w:rPr>
          <w:rFonts w:hint="eastAsia" w:ascii="黑体" w:hAnsi="宋体" w:eastAsia="黑体"/>
          <w:b/>
          <w:color w:val="000000" w:themeColor="text1"/>
          <w:sz w:val="24"/>
          <w:highlight w:val="none"/>
          <w14:textFill>
            <w14:solidFill>
              <w14:schemeClr w14:val="tx1"/>
            </w14:solidFill>
          </w14:textFill>
        </w:rPr>
        <w:t>7-3：专业工程暂估价表</w:t>
      </w:r>
      <w:bookmarkEnd w:id="511"/>
    </w:p>
    <w:tbl>
      <w:tblPr>
        <w:tblStyle w:val="6"/>
        <w:tblW w:w="0" w:type="auto"/>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10B02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08" w:hRule="atLeast"/>
        </w:trPr>
        <w:tc>
          <w:tcPr>
            <w:tcW w:w="993" w:type="dxa"/>
            <w:vAlign w:val="center"/>
          </w:tcPr>
          <w:p w14:paraId="109834E7">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序号</w:t>
            </w:r>
          </w:p>
        </w:tc>
        <w:tc>
          <w:tcPr>
            <w:tcW w:w="1984" w:type="dxa"/>
            <w:vAlign w:val="center"/>
          </w:tcPr>
          <w:p w14:paraId="6D08852B">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名称</w:t>
            </w:r>
          </w:p>
        </w:tc>
        <w:tc>
          <w:tcPr>
            <w:tcW w:w="851" w:type="dxa"/>
            <w:vAlign w:val="center"/>
          </w:tcPr>
          <w:p w14:paraId="62185159">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单位</w:t>
            </w:r>
          </w:p>
        </w:tc>
        <w:tc>
          <w:tcPr>
            <w:tcW w:w="774" w:type="dxa"/>
            <w:vAlign w:val="center"/>
          </w:tcPr>
          <w:p w14:paraId="6244708B">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数量</w:t>
            </w:r>
          </w:p>
        </w:tc>
        <w:tc>
          <w:tcPr>
            <w:tcW w:w="1352" w:type="dxa"/>
            <w:vAlign w:val="center"/>
          </w:tcPr>
          <w:p w14:paraId="0B3577CF">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单价</w:t>
            </w:r>
            <w:r>
              <w:rPr>
                <w:rFonts w:hint="eastAsia" w:ascii="宋体" w:hAnsi="宋体"/>
                <w:b/>
                <w:color w:val="000000" w:themeColor="text1"/>
                <w:szCs w:val="21"/>
                <w:highlight w:val="none"/>
                <w14:textFill>
                  <w14:solidFill>
                    <w14:schemeClr w14:val="tx1"/>
                  </w14:solidFill>
                </w14:textFill>
              </w:rPr>
              <w:t>（元）</w:t>
            </w:r>
          </w:p>
        </w:tc>
        <w:tc>
          <w:tcPr>
            <w:tcW w:w="1418" w:type="dxa"/>
            <w:vAlign w:val="center"/>
          </w:tcPr>
          <w:p w14:paraId="456AD676">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合价</w:t>
            </w:r>
            <w:r>
              <w:rPr>
                <w:rFonts w:hint="eastAsia" w:ascii="宋体" w:hAnsi="宋体"/>
                <w:b/>
                <w:color w:val="000000" w:themeColor="text1"/>
                <w:szCs w:val="21"/>
                <w:highlight w:val="none"/>
                <w14:textFill>
                  <w14:solidFill>
                    <w14:schemeClr w14:val="tx1"/>
                  </w14:solidFill>
                </w14:textFill>
              </w:rPr>
              <w:t>（元）</w:t>
            </w:r>
          </w:p>
        </w:tc>
        <w:tc>
          <w:tcPr>
            <w:tcW w:w="1701" w:type="dxa"/>
            <w:vAlign w:val="center"/>
          </w:tcPr>
          <w:p w14:paraId="1905FED2">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备注</w:t>
            </w:r>
          </w:p>
        </w:tc>
      </w:tr>
      <w:tr w14:paraId="2F2EE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1061785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4D20C3A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1A01F10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02542D0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451E46B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3CF2F2F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398F7A6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1AA9D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76F45F3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7A61652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6133A1D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500D2E6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6D6E5BA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73CA7C3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55E0BBE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3E28D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388D97A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403C303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0DE292A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7BC70D6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5836B92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7D645E0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1F49BE0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22C80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4BA933B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1867C55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53B2D58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041EB41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46FDDFC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72D01FF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4E8C8AE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399BB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6FEE9D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0919822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635278B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3383A06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1F396BD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7E9E325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1C82673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2C3A8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F2824C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08DFD4F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197E080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1850E5F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35BA142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7B14F43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72936F0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0EF5D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057615E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2FA13AB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7739F0C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7F93B79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350EF1F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2AC95EA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3933914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6C809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155540E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2FB4F07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78CC819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7FDA65B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4AF9ED7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2970EE9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66CE32B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61B6A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1BB341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53DF7A3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51ED281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230A88A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6AD08C6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10D2413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100EC87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23588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642C876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0853E61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29D8117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4E07BDE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27AD423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780D03E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5177D55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61F3A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7CFC16B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2760145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2511756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39D0020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2F4AD44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1C5A061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24F3707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69465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017E2C7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34F3E28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18009E7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4613D2D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609AC6A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5563A41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79C4727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709E9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0EBE284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7493B62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71A0F2E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3390518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206FFCE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5788E00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4A84624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10D5E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9E903D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72F770E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21983BB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26E347A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4ED2D50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32FFC03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593EC71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11459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1FC18F7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3CA66C7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4ECD99F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6CE8332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6693548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217B2ED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290EAA9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4718C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411D640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5D879C2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5247F19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26A3B8A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67828E1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442025F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363061A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1F4FC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30A224C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398D627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792F95F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7FF2514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19E0342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4351C22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595E264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42527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971EA3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16393BD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5FFE9D6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51AC187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55E1C1C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0944569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60D6ED5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7A8D9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4692596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299FC5A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1E02CAC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0E07821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2FF9DE1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397CAB3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24C476F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bl>
    <w:p w14:paraId="573AFC92">
      <w:pPr>
        <w:spacing w:line="360" w:lineRule="auto"/>
        <w:jc w:val="both"/>
        <w:rPr>
          <w:rFonts w:ascii="宋体" w:hAnsi="宋体" w:eastAsia="宋体"/>
          <w:b/>
          <w:sz w:val="36"/>
          <w:szCs w:val="36"/>
        </w:rPr>
      </w:pPr>
    </w:p>
    <w:p w14:paraId="49A49FE8"/>
    <w:sectPr>
      <w:pgSz w:w="11906" w:h="16838"/>
      <w:pgMar w:top="1327" w:right="1639" w:bottom="1327" w:left="169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_HKSCS">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2871C2"/>
    <w:rsid w:val="622871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pPr>
      <w:spacing w:after="120"/>
    </w:pPr>
  </w:style>
  <w:style w:type="paragraph" w:styleId="3">
    <w:name w:val="Body Text Indent"/>
    <w:basedOn w:val="1"/>
    <w:qFormat/>
    <w:uiPriority w:val="99"/>
    <w:pPr>
      <w:spacing w:after="120"/>
      <w:ind w:left="420" w:leftChars="200"/>
    </w:pPr>
  </w:style>
  <w:style w:type="paragraph" w:styleId="4">
    <w:name w:val="Plain Text"/>
    <w:basedOn w:val="1"/>
    <w:qFormat/>
    <w:uiPriority w:val="0"/>
    <w:rPr>
      <w:rFonts w:ascii="宋体" w:hAnsi="Courier New" w:eastAsia="宋体" w:cs="Courier New"/>
      <w:szCs w:val="21"/>
    </w:rPr>
  </w:style>
  <w:style w:type="paragraph" w:styleId="5">
    <w:name w:val="Body Text First Indent"/>
    <w:basedOn w:val="2"/>
    <w:unhideWhenUsed/>
    <w:qFormat/>
    <w:uiPriority w:val="99"/>
    <w:pPr>
      <w:ind w:firstLine="420" w:firstLineChars="1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2025-07-09T03:22:00Z</dcterms:created>
  <dc:creator>杜航</dc:creator>
  <cp:lastModifiedBy>杜航</cp:lastModifiedBy>
  <dcterms:modified xsi:type="dcterms:W3CDTF">2025-07-09T03:23:05Z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09769D68C7044436A5D7D1B36CDD7125_11</vt:lpwstr>
  </property>
  <property fmtid="{D5CDD505-2E9C-101B-9397-08002B2CF9AE}" pid="4" name="KSOTemplateDocerSaveRecord">
    <vt:lpwstr>eyJoZGlkIjoiYTYwNWE2MmNhNzRiMDNhMjMzYTJhNjIzZjY2YmY0MGMiLCJ1c2VySWQiOiIzMDgwODY2MDYifQ==</vt:lpwstr>
  </property>
</Properties>
</file>