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132EA">
      <w:pPr>
        <w:spacing w:before="312" w:beforeLines="100"/>
        <w:jc w:val="center"/>
        <w:rPr>
          <w:rFonts w:hint="eastAsia" w:ascii="宋体" w:hAnsi="宋体" w:cs="宋体"/>
          <w:bCs/>
          <w:sz w:val="24"/>
        </w:rPr>
      </w:pPr>
      <w:bookmarkStart w:id="0" w:name="_GoBack"/>
      <w:bookmarkEnd w:id="0"/>
      <w:r>
        <w:rPr>
          <w:rFonts w:hint="eastAsia" w:ascii="宋体" w:hAnsi="宋体" w:cs="宋体"/>
          <w:bCs/>
          <w:sz w:val="36"/>
          <w:szCs w:val="36"/>
        </w:rPr>
        <w:t>编制说明</w:t>
      </w:r>
    </w:p>
    <w:p w14:paraId="4B210C91">
      <w:pPr>
        <w:numPr>
          <w:ilvl w:val="0"/>
          <w:numId w:val="1"/>
        </w:numPr>
        <w:adjustRightInd w:val="0"/>
        <w:snapToGrid w:val="0"/>
        <w:spacing w:line="360" w:lineRule="auto"/>
        <w:rPr>
          <w:rFonts w:hint="eastAsia"/>
          <w:b/>
          <w:bCs/>
          <w:sz w:val="28"/>
          <w:szCs w:val="28"/>
        </w:rPr>
      </w:pPr>
      <w:r>
        <w:rPr>
          <w:rFonts w:hint="eastAsia"/>
          <w:b/>
          <w:bCs/>
          <w:sz w:val="28"/>
          <w:szCs w:val="28"/>
        </w:rPr>
        <w:t>工程概况</w:t>
      </w:r>
    </w:p>
    <w:p w14:paraId="25DC1A07">
      <w:pPr>
        <w:adjustRightInd w:val="0"/>
        <w:snapToGrid w:val="0"/>
        <w:spacing w:line="360" w:lineRule="auto"/>
        <w:ind w:left="560" w:hanging="560" w:hangingChars="200"/>
        <w:rPr>
          <w:rFonts w:hint="eastAsia"/>
          <w:b/>
          <w:bCs/>
          <w:sz w:val="28"/>
          <w:szCs w:val="28"/>
        </w:rPr>
      </w:pPr>
      <w:r>
        <w:rPr>
          <w:rFonts w:hint="eastAsia"/>
          <w:sz w:val="28"/>
          <w:szCs w:val="28"/>
        </w:rPr>
        <w:t xml:space="preserve">     </w:t>
      </w:r>
      <w:r>
        <w:rPr>
          <w:rFonts w:hint="eastAsia"/>
          <w:sz w:val="28"/>
          <w:szCs w:val="28"/>
          <w:lang w:val="en-US" w:eastAsia="zh-CN"/>
        </w:rPr>
        <w:t xml:space="preserve">  吉祥路小学教学楼内老旧消防管网改造及机械排烟系统安装工程位于西安市内</w:t>
      </w:r>
      <w:r>
        <w:rPr>
          <w:rFonts w:hint="eastAsia"/>
          <w:sz w:val="28"/>
          <w:szCs w:val="28"/>
        </w:rPr>
        <w:t>，</w:t>
      </w:r>
      <w:r>
        <w:rPr>
          <w:rFonts w:hint="eastAsia"/>
          <w:sz w:val="28"/>
          <w:szCs w:val="28"/>
          <w:lang w:val="en-US" w:eastAsia="zh-CN"/>
        </w:rPr>
        <w:t>工程主要内容为</w:t>
      </w:r>
      <w:r>
        <w:rPr>
          <w:rFonts w:hint="eastAsia" w:ascii="Times New Roman" w:hAnsi="Times New Roman" w:eastAsia="宋体" w:cs="Times New Roman"/>
          <w:sz w:val="28"/>
          <w:szCs w:val="28"/>
          <w:lang w:val="en-US" w:eastAsia="zh-CN"/>
        </w:rPr>
        <w:t>校园消火栓工程、通风工程、电气工程</w:t>
      </w:r>
      <w:r>
        <w:rPr>
          <w:rFonts w:hint="eastAsia"/>
          <w:sz w:val="28"/>
          <w:szCs w:val="28"/>
        </w:rPr>
        <w:t>。</w:t>
      </w:r>
    </w:p>
    <w:p w14:paraId="7CA235C1">
      <w:pPr>
        <w:numPr>
          <w:ilvl w:val="0"/>
          <w:numId w:val="1"/>
        </w:numPr>
        <w:adjustRightInd w:val="0"/>
        <w:snapToGrid w:val="0"/>
        <w:spacing w:line="360" w:lineRule="auto"/>
        <w:rPr>
          <w:rFonts w:hint="eastAsia" w:ascii="宋体" w:hAnsi="宋体" w:cs="宋体"/>
          <w:b/>
          <w:bCs/>
          <w:sz w:val="28"/>
          <w:szCs w:val="28"/>
        </w:rPr>
      </w:pPr>
      <w:r>
        <w:rPr>
          <w:rFonts w:hint="eastAsia" w:ascii="宋体" w:hAnsi="宋体" w:cs="宋体"/>
          <w:b/>
          <w:bCs/>
          <w:sz w:val="28"/>
          <w:szCs w:val="28"/>
        </w:rPr>
        <w:t>编制依据</w:t>
      </w:r>
    </w:p>
    <w:p w14:paraId="0B1A11D9">
      <w:pPr>
        <w:numPr>
          <w:ilvl w:val="0"/>
          <w:numId w:val="2"/>
        </w:numPr>
        <w:spacing w:line="360" w:lineRule="auto"/>
        <w:ind w:left="420" w:firstLine="0"/>
        <w:rPr>
          <w:rFonts w:hint="eastAsia" w:ascii="宋体" w:hAnsi="宋体" w:cs="宋体"/>
          <w:sz w:val="28"/>
          <w:szCs w:val="28"/>
        </w:rPr>
      </w:pPr>
      <w:r>
        <w:rPr>
          <w:rFonts w:hint="eastAsia" w:ascii="宋体" w:hAnsi="宋体"/>
          <w:sz w:val="28"/>
          <w:szCs w:val="28"/>
        </w:rPr>
        <w:t>工程量清单计价规范（陕西-2009）</w:t>
      </w:r>
      <w:r>
        <w:rPr>
          <w:rFonts w:hint="eastAsia" w:ascii="宋体" w:hAnsi="宋体"/>
          <w:sz w:val="28"/>
          <w:szCs w:val="28"/>
          <w:lang w:val="en-US" w:eastAsia="zh-CN"/>
        </w:rPr>
        <w:t>及</w:t>
      </w:r>
      <w:r>
        <w:rPr>
          <w:rFonts w:hint="eastAsia" w:ascii="宋体" w:hAnsi="宋体"/>
          <w:sz w:val="28"/>
          <w:szCs w:val="28"/>
        </w:rPr>
        <w:t>09价目表；</w:t>
      </w:r>
    </w:p>
    <w:p w14:paraId="02028A21">
      <w:pPr>
        <w:numPr>
          <w:ilvl w:val="0"/>
          <w:numId w:val="2"/>
        </w:numPr>
        <w:spacing w:line="360" w:lineRule="auto"/>
        <w:ind w:left="420" w:firstLine="0"/>
        <w:rPr>
          <w:rFonts w:hint="eastAsia" w:ascii="宋体" w:hAnsi="宋体" w:cs="宋体"/>
          <w:sz w:val="28"/>
          <w:szCs w:val="28"/>
        </w:rPr>
      </w:pPr>
      <w:r>
        <w:rPr>
          <w:rFonts w:hint="eastAsia" w:ascii="宋体" w:hAnsi="宋体"/>
          <w:sz w:val="28"/>
          <w:szCs w:val="28"/>
        </w:rPr>
        <w:t>《</w:t>
      </w:r>
      <w:r>
        <w:rPr>
          <w:rFonts w:hint="eastAsia" w:ascii="宋体" w:hAnsi="宋体"/>
          <w:color w:val="000000"/>
          <w:sz w:val="28"/>
          <w:szCs w:val="28"/>
        </w:rPr>
        <w:t>陕西省</w:t>
      </w:r>
      <w:r>
        <w:rPr>
          <w:rFonts w:hint="eastAsia" w:ascii="宋体" w:hAnsi="宋体"/>
          <w:sz w:val="28"/>
          <w:szCs w:val="28"/>
        </w:rPr>
        <w:t>建设工程工程量清单计价规则》(2009年)</w:t>
      </w:r>
    </w:p>
    <w:p w14:paraId="103EBFFD">
      <w:pPr>
        <w:numPr>
          <w:ilvl w:val="0"/>
          <w:numId w:val="2"/>
        </w:numPr>
        <w:spacing w:line="360" w:lineRule="auto"/>
        <w:ind w:left="420" w:firstLine="0"/>
        <w:rPr>
          <w:rFonts w:hint="eastAsia" w:ascii="宋体" w:hAnsi="宋体" w:cs="宋体"/>
          <w:sz w:val="28"/>
          <w:szCs w:val="28"/>
        </w:rPr>
      </w:pPr>
      <w:r>
        <w:rPr>
          <w:rFonts w:hint="eastAsia" w:ascii="宋体" w:hAnsi="宋体"/>
          <w:sz w:val="28"/>
          <w:szCs w:val="28"/>
        </w:rPr>
        <w:t>《陕西省装饰工程价目表》（2009）</w:t>
      </w:r>
    </w:p>
    <w:p w14:paraId="0F5E7711">
      <w:pPr>
        <w:numPr>
          <w:ilvl w:val="0"/>
          <w:numId w:val="2"/>
        </w:numPr>
        <w:spacing w:line="360" w:lineRule="auto"/>
        <w:ind w:left="420" w:firstLine="0"/>
        <w:rPr>
          <w:rFonts w:hint="eastAsia" w:ascii="宋体" w:hAnsi="宋体" w:cs="宋体"/>
          <w:sz w:val="28"/>
          <w:szCs w:val="28"/>
        </w:rPr>
      </w:pPr>
      <w:r>
        <w:rPr>
          <w:rFonts w:hint="eastAsia" w:ascii="宋体" w:hAnsi="宋体"/>
          <w:sz w:val="28"/>
          <w:szCs w:val="28"/>
        </w:rPr>
        <w:t>《陕西省安装工程价目表》（2009）</w:t>
      </w:r>
    </w:p>
    <w:p w14:paraId="59459657">
      <w:pPr>
        <w:numPr>
          <w:ilvl w:val="0"/>
          <w:numId w:val="2"/>
        </w:numPr>
        <w:spacing w:line="360" w:lineRule="auto"/>
        <w:ind w:left="420" w:firstLine="0"/>
        <w:rPr>
          <w:rFonts w:hint="eastAsia" w:ascii="宋体" w:hAnsi="宋体" w:cs="宋体"/>
          <w:sz w:val="28"/>
          <w:szCs w:val="28"/>
        </w:rPr>
      </w:pPr>
      <w:r>
        <w:rPr>
          <w:rFonts w:hint="eastAsia" w:ascii="宋体" w:hAnsi="宋体" w:cs="宋体"/>
          <w:sz w:val="28"/>
          <w:szCs w:val="28"/>
        </w:rPr>
        <w:t>《关于调整我省建设工程计价依据的通知》（陕建发[2019]45号）；</w:t>
      </w:r>
    </w:p>
    <w:p w14:paraId="5DC975E0">
      <w:pPr>
        <w:numPr>
          <w:ilvl w:val="0"/>
          <w:numId w:val="2"/>
        </w:numPr>
        <w:spacing w:line="360" w:lineRule="auto"/>
        <w:ind w:left="420" w:firstLine="0"/>
        <w:rPr>
          <w:rFonts w:hint="eastAsia" w:ascii="宋体" w:hAnsi="宋体" w:cs="宋体"/>
          <w:sz w:val="28"/>
          <w:szCs w:val="28"/>
        </w:rPr>
      </w:pPr>
      <w:r>
        <w:rPr>
          <w:rFonts w:hint="eastAsia" w:ascii="宋体" w:hAnsi="宋体" w:cs="宋体"/>
          <w:sz w:val="28"/>
          <w:szCs w:val="28"/>
        </w:rPr>
        <w:t>《关于发布我省落实建筑工人实名制管理计价依据的通知》（陕建发[2019]1246号文）;</w:t>
      </w:r>
    </w:p>
    <w:p w14:paraId="788F3F12">
      <w:pPr>
        <w:numPr>
          <w:ilvl w:val="0"/>
          <w:numId w:val="2"/>
        </w:numPr>
        <w:spacing w:line="360" w:lineRule="auto"/>
        <w:ind w:left="420" w:firstLine="0"/>
        <w:rPr>
          <w:rFonts w:hint="eastAsia" w:ascii="宋体" w:hAnsi="宋体" w:cs="宋体"/>
          <w:sz w:val="28"/>
          <w:szCs w:val="28"/>
        </w:rPr>
      </w:pPr>
      <w:r>
        <w:rPr>
          <w:rFonts w:hint="eastAsia" w:ascii="宋体" w:hAnsi="宋体" w:cs="宋体"/>
          <w:sz w:val="28"/>
          <w:szCs w:val="28"/>
        </w:rPr>
        <w:t>《关于建筑施工安全生产责任保险费用计价的通知》（陕建发[2020]1097号文）；</w:t>
      </w:r>
    </w:p>
    <w:p w14:paraId="4B2920D6">
      <w:pPr>
        <w:numPr>
          <w:ilvl w:val="0"/>
          <w:numId w:val="2"/>
        </w:numPr>
        <w:spacing w:line="360" w:lineRule="auto"/>
        <w:ind w:left="420" w:firstLine="0"/>
        <w:rPr>
          <w:rFonts w:hint="eastAsia" w:ascii="宋体" w:hAnsi="宋体" w:cs="宋体"/>
          <w:sz w:val="28"/>
          <w:szCs w:val="28"/>
        </w:rPr>
      </w:pPr>
      <w:r>
        <w:rPr>
          <w:rFonts w:hint="eastAsia" w:ascii="宋体" w:hAnsi="宋体" w:cs="宋体"/>
          <w:sz w:val="28"/>
          <w:szCs w:val="28"/>
        </w:rPr>
        <w:t>《关于全省统一停止收缴建筑业劳保费用的通知》（陕建发[2021]1021号文）；</w:t>
      </w:r>
    </w:p>
    <w:p w14:paraId="2FAD6796">
      <w:pPr>
        <w:numPr>
          <w:ilvl w:val="0"/>
          <w:numId w:val="2"/>
        </w:numPr>
        <w:spacing w:line="360" w:lineRule="auto"/>
        <w:ind w:left="420" w:firstLine="0"/>
        <w:rPr>
          <w:rFonts w:hint="eastAsia" w:ascii="宋体" w:hAnsi="宋体" w:cs="宋体"/>
          <w:b/>
          <w:bCs/>
          <w:sz w:val="28"/>
          <w:szCs w:val="28"/>
        </w:rPr>
      </w:pPr>
      <w:r>
        <w:rPr>
          <w:rFonts w:hint="eastAsia" w:ascii="宋体" w:hAnsi="宋体" w:cs="宋体"/>
          <w:sz w:val="28"/>
          <w:szCs w:val="28"/>
        </w:rPr>
        <w:t>《关于调整房屋建筑和市政基础设施工程工程量清单计价综合人工单价的通知》（陕建发[2021]1097号文）。</w:t>
      </w:r>
    </w:p>
    <w:p w14:paraId="73C629C6">
      <w:pPr>
        <w:adjustRightInd w:val="0"/>
        <w:snapToGrid w:val="0"/>
        <w:spacing w:line="360" w:lineRule="auto"/>
        <w:rPr>
          <w:rFonts w:hint="eastAsia" w:ascii="宋体" w:hAnsi="宋体" w:cs="宋体"/>
          <w:b/>
          <w:bCs/>
          <w:sz w:val="28"/>
          <w:szCs w:val="28"/>
        </w:rPr>
      </w:pPr>
      <w:r>
        <w:rPr>
          <w:rFonts w:hint="eastAsia" w:ascii="宋体" w:hAnsi="宋体" w:cs="宋体"/>
          <w:b/>
          <w:bCs/>
          <w:sz w:val="28"/>
          <w:szCs w:val="28"/>
        </w:rPr>
        <w:t>二、其他说明</w:t>
      </w:r>
    </w:p>
    <w:p w14:paraId="295229F2">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工程量清单应与招标文件、合同条款、技术规范及图纸等结合起来查阅与理解；</w:t>
      </w:r>
    </w:p>
    <w:p w14:paraId="1E5497AB">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工程量清单中列的项目名称及特征描述有描述的按照该描述，无描述的按照《陕西省建设工程工程量清单计价规则（2009）》及本工程需要的其他工作内容（结合规范、施工组织设计）执行；</w:t>
      </w:r>
    </w:p>
    <w:p w14:paraId="2BE2CEEB">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工程量清单中混凝土采用商品混凝土；</w:t>
      </w:r>
    </w:p>
    <w:p w14:paraId="34AA3F31">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任何未列入工程量清单，且对清单未提出答疑，但根据工程规范要求及合同内所有项目需要所引起的一切费用，均视为已包含在清单的工作内容内。</w:t>
      </w:r>
    </w:p>
    <w:p w14:paraId="6AB0A07C">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材料价格参考陕西省工程造价信息202</w:t>
      </w:r>
      <w:r>
        <w:rPr>
          <w:rFonts w:hint="eastAsia" w:ascii="宋体" w:hAnsi="宋体" w:cs="宋体"/>
          <w:sz w:val="28"/>
          <w:szCs w:val="28"/>
          <w:lang w:val="en-US" w:eastAsia="zh-CN"/>
        </w:rPr>
        <w:t>5</w:t>
      </w:r>
      <w:r>
        <w:rPr>
          <w:rFonts w:hint="eastAsia" w:ascii="宋体" w:hAnsi="宋体" w:cs="宋体"/>
          <w:sz w:val="28"/>
          <w:szCs w:val="28"/>
        </w:rPr>
        <w:t>年</w:t>
      </w:r>
      <w:r>
        <w:rPr>
          <w:rFonts w:hint="eastAsia" w:ascii="宋体" w:hAnsi="宋体" w:cs="宋体"/>
          <w:sz w:val="28"/>
          <w:szCs w:val="28"/>
          <w:lang w:val="en-US" w:eastAsia="zh-CN"/>
        </w:rPr>
        <w:t>5</w:t>
      </w:r>
      <w:r>
        <w:rPr>
          <w:rFonts w:hint="eastAsia" w:ascii="宋体" w:hAnsi="宋体" w:cs="宋体"/>
          <w:sz w:val="28"/>
          <w:szCs w:val="28"/>
        </w:rPr>
        <w:t>月份信息价及市场价；</w:t>
      </w:r>
    </w:p>
    <w:p w14:paraId="6895AED1">
      <w:pPr>
        <w:numPr>
          <w:ilvl w:val="0"/>
          <w:numId w:val="3"/>
        </w:numPr>
        <w:snapToGrid w:val="0"/>
        <w:spacing w:line="360" w:lineRule="auto"/>
        <w:rPr>
          <w:rFonts w:hint="eastAsia" w:ascii="宋体" w:hAnsi="宋体" w:cs="宋体"/>
          <w:sz w:val="28"/>
          <w:szCs w:val="28"/>
        </w:rPr>
      </w:pPr>
      <w:r>
        <w:rPr>
          <w:rFonts w:hint="eastAsia" w:ascii="宋体" w:hAnsi="宋体" w:cs="宋体"/>
          <w:sz w:val="28"/>
          <w:szCs w:val="28"/>
        </w:rPr>
        <w:t>广联达软件版本号：GCCP6.0（6.</w:t>
      </w:r>
      <w:r>
        <w:rPr>
          <w:rFonts w:hint="eastAsia" w:ascii="宋体" w:hAnsi="宋体" w:cs="宋体"/>
          <w:sz w:val="28"/>
          <w:szCs w:val="28"/>
          <w:lang w:val="en-US" w:eastAsia="zh-CN"/>
        </w:rPr>
        <w:t>41</w:t>
      </w:r>
      <w:r>
        <w:rPr>
          <w:rFonts w:hint="eastAsia" w:ascii="宋体" w:hAnsi="宋体" w:cs="宋体"/>
          <w:sz w:val="28"/>
          <w:szCs w:val="28"/>
        </w:rPr>
        <w:t>00.</w:t>
      </w:r>
      <w:r>
        <w:rPr>
          <w:rFonts w:hint="eastAsia" w:ascii="宋体" w:hAnsi="宋体" w:cs="宋体"/>
          <w:sz w:val="28"/>
          <w:szCs w:val="28"/>
          <w:lang w:val="en-US" w:eastAsia="zh-CN"/>
        </w:rPr>
        <w:t>23</w:t>
      </w:r>
      <w:r>
        <w:rPr>
          <w:rFonts w:hint="eastAsia" w:ascii="宋体" w:hAnsi="宋体" w:cs="宋体"/>
          <w:sz w:val="28"/>
          <w:szCs w:val="28"/>
        </w:rPr>
        <w:t>.1</w:t>
      </w:r>
      <w:r>
        <w:rPr>
          <w:rFonts w:hint="eastAsia" w:ascii="宋体" w:hAnsi="宋体" w:cs="宋体"/>
          <w:sz w:val="28"/>
          <w:szCs w:val="28"/>
          <w:lang w:val="en-US" w:eastAsia="zh-CN"/>
        </w:rPr>
        <w:t>22</w:t>
      </w:r>
      <w:r>
        <w:rPr>
          <w:rFonts w:hint="eastAsia" w:ascii="宋体" w:hAnsi="宋体" w:cs="宋体"/>
          <w:sz w:val="28"/>
          <w:szCs w:val="28"/>
        </w:rPr>
        <w:t>）。</w:t>
      </w:r>
    </w:p>
    <w:p w14:paraId="0D7CEE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D9CFBA"/>
    <w:multiLevelType w:val="multilevel"/>
    <w:tmpl w:val="F0D9CFBA"/>
    <w:lvl w:ilvl="0" w:tentative="0">
      <w:start w:val="1"/>
      <w:numFmt w:val="chineseCounting"/>
      <w:suff w:val="nothing"/>
      <w:lvlText w:val="%1、"/>
      <w:lvlJc w:val="left"/>
      <w:pPr>
        <w:tabs>
          <w:tab w:val="left" w:pos="0"/>
        </w:tabs>
        <w:ind w:left="0" w:firstLine="0"/>
      </w:pPr>
      <w:rPr>
        <w:rFonts w:hint="eastAsia"/>
      </w:rPr>
    </w:lvl>
    <w:lvl w:ilvl="1" w:tentative="0">
      <w:start w:val="1"/>
      <w:numFmt w:val="decimal"/>
      <w:suff w:val="nothing"/>
      <w:lvlText w:val="%2．"/>
      <w:lvlJc w:val="left"/>
      <w:pPr>
        <w:tabs>
          <w:tab w:val="left" w:pos="0"/>
        </w:tabs>
        <w:ind w:left="0" w:firstLine="0"/>
      </w:pPr>
      <w:rPr>
        <w:rFonts w:hint="eastAsia"/>
      </w:rPr>
    </w:lvl>
    <w:lvl w:ilvl="2" w:tentative="0">
      <w:start w:val="1"/>
      <w:numFmt w:val="decimal"/>
      <w:suff w:val="nothing"/>
      <w:lvlText w:val="（%3）"/>
      <w:lvlJc w:val="left"/>
      <w:pPr>
        <w:tabs>
          <w:tab w:val="left" w:pos="0"/>
        </w:tabs>
        <w:ind w:left="0" w:firstLine="0"/>
      </w:pPr>
      <w:rPr>
        <w:rFonts w:hint="eastAsia"/>
      </w:rPr>
    </w:lvl>
    <w:lvl w:ilvl="3" w:tentative="0">
      <w:start w:val="1"/>
      <w:numFmt w:val="decimalEnclosedCircleChinese"/>
      <w:suff w:val="nothing"/>
      <w:lvlText w:val="%4"/>
      <w:lvlJc w:val="left"/>
      <w:pPr>
        <w:tabs>
          <w:tab w:val="left" w:pos="0"/>
        </w:tabs>
        <w:ind w:left="0" w:firstLine="0"/>
      </w:pPr>
      <w:rPr>
        <w:rFonts w:hint="eastAsia"/>
      </w:rPr>
    </w:lvl>
    <w:lvl w:ilvl="4" w:tentative="0">
      <w:start w:val="1"/>
      <w:numFmt w:val="decimal"/>
      <w:suff w:val="nothing"/>
      <w:lvlText w:val="%5）"/>
      <w:lvlJc w:val="left"/>
      <w:pPr>
        <w:tabs>
          <w:tab w:val="left" w:pos="0"/>
        </w:tabs>
        <w:ind w:left="0" w:firstLine="0"/>
      </w:pPr>
      <w:rPr>
        <w:rFonts w:hint="eastAsia"/>
      </w:rPr>
    </w:lvl>
    <w:lvl w:ilvl="5" w:tentative="0">
      <w:start w:val="1"/>
      <w:numFmt w:val="lowerLetter"/>
      <w:suff w:val="nothing"/>
      <w:lvlText w:val="%6．"/>
      <w:lvlJc w:val="left"/>
      <w:pPr>
        <w:tabs>
          <w:tab w:val="left" w:pos="0"/>
        </w:tabs>
        <w:ind w:left="0" w:firstLine="0"/>
      </w:pPr>
      <w:rPr>
        <w:rFonts w:hint="eastAsia"/>
      </w:rPr>
    </w:lvl>
    <w:lvl w:ilvl="6" w:tentative="0">
      <w:start w:val="1"/>
      <w:numFmt w:val="lowerLetter"/>
      <w:suff w:val="nothing"/>
      <w:lvlText w:val="%7）"/>
      <w:lvlJc w:val="left"/>
      <w:pPr>
        <w:tabs>
          <w:tab w:val="left" w:pos="0"/>
        </w:tabs>
        <w:ind w:left="0" w:firstLine="0"/>
      </w:pPr>
      <w:rPr>
        <w:rFonts w:hint="eastAsia"/>
      </w:rPr>
    </w:lvl>
    <w:lvl w:ilvl="7" w:tentative="0">
      <w:start w:val="1"/>
      <w:numFmt w:val="lowerRoman"/>
      <w:suff w:val="nothing"/>
      <w:lvlText w:val="%8．"/>
      <w:lvlJc w:val="left"/>
      <w:pPr>
        <w:tabs>
          <w:tab w:val="left" w:pos="0"/>
        </w:tabs>
        <w:ind w:left="0" w:firstLine="0"/>
      </w:pPr>
      <w:rPr>
        <w:rFonts w:hint="eastAsia"/>
      </w:rPr>
    </w:lvl>
    <w:lvl w:ilvl="8" w:tentative="0">
      <w:start w:val="1"/>
      <w:numFmt w:val="lowerRoman"/>
      <w:suff w:val="nothing"/>
      <w:lvlText w:val="%9）"/>
      <w:lvlJc w:val="left"/>
      <w:pPr>
        <w:tabs>
          <w:tab w:val="left" w:pos="0"/>
        </w:tabs>
        <w:ind w:left="0" w:firstLine="0"/>
      </w:pPr>
      <w:rPr>
        <w:rFonts w:hint="eastAsia"/>
      </w:rPr>
    </w:lvl>
  </w:abstractNum>
  <w:abstractNum w:abstractNumId="1">
    <w:nsid w:val="F3CAD1D5"/>
    <w:multiLevelType w:val="multilevel"/>
    <w:tmpl w:val="F3CAD1D5"/>
    <w:lvl w:ilvl="0" w:tentative="0">
      <w:start w:val="1"/>
      <w:numFmt w:val="decimal"/>
      <w:suff w:val="nothing"/>
      <w:lvlText w:val="%1．"/>
      <w:lvlJc w:val="left"/>
      <w:pPr>
        <w:ind w:left="0" w:firstLine="400"/>
      </w:pPr>
      <w:rPr>
        <w:rFonts w:hint="default"/>
      </w:rPr>
    </w:lvl>
    <w:lvl w:ilvl="1" w:tentative="0">
      <w:start w:val="1"/>
      <w:numFmt w:val="decimal"/>
      <w:lvlText w:val="(%2)"/>
      <w:lvlJc w:val="left"/>
      <w:pPr>
        <w:tabs>
          <w:tab w:val="left" w:pos="840"/>
        </w:tabs>
        <w:ind w:left="1240" w:hanging="420"/>
      </w:pPr>
      <w:rPr>
        <w:rFonts w:hint="default"/>
      </w:rPr>
    </w:lvl>
    <w:lvl w:ilvl="2" w:tentative="0">
      <w:start w:val="1"/>
      <w:numFmt w:val="decimalEnclosedCircleChinese"/>
      <w:lvlText w:val="%3"/>
      <w:lvlJc w:val="left"/>
      <w:pPr>
        <w:tabs>
          <w:tab w:val="left" w:pos="1260"/>
        </w:tabs>
        <w:ind w:left="1660" w:hanging="420"/>
      </w:pPr>
      <w:rPr>
        <w:rFonts w:hint="default"/>
      </w:rPr>
    </w:lvl>
    <w:lvl w:ilvl="3" w:tentative="0">
      <w:start w:val="1"/>
      <w:numFmt w:val="decimal"/>
      <w:lvlText w:val="%4)"/>
      <w:lvlJc w:val="left"/>
      <w:pPr>
        <w:tabs>
          <w:tab w:val="left" w:pos="1680"/>
        </w:tabs>
        <w:ind w:left="2080" w:hanging="420"/>
      </w:pPr>
      <w:rPr>
        <w:rFonts w:hint="default"/>
      </w:rPr>
    </w:lvl>
    <w:lvl w:ilvl="4" w:tentative="0">
      <w:start w:val="1"/>
      <w:numFmt w:val="lowerLetter"/>
      <w:lvlText w:val="%5."/>
      <w:lvlJc w:val="left"/>
      <w:pPr>
        <w:tabs>
          <w:tab w:val="left" w:pos="2100"/>
        </w:tabs>
        <w:ind w:left="2500" w:hanging="420"/>
      </w:pPr>
      <w:rPr>
        <w:rFonts w:hint="default"/>
      </w:rPr>
    </w:lvl>
    <w:lvl w:ilvl="5" w:tentative="0">
      <w:start w:val="1"/>
      <w:numFmt w:val="lowerLetter"/>
      <w:lvlText w:val="%6)"/>
      <w:lvlJc w:val="left"/>
      <w:pPr>
        <w:tabs>
          <w:tab w:val="left" w:pos="2520"/>
        </w:tabs>
        <w:ind w:left="2920" w:hanging="420"/>
      </w:pPr>
      <w:rPr>
        <w:rFonts w:hint="default"/>
      </w:rPr>
    </w:lvl>
    <w:lvl w:ilvl="6" w:tentative="0">
      <w:start w:val="1"/>
      <w:numFmt w:val="lowerRoman"/>
      <w:lvlText w:val="%7."/>
      <w:lvlJc w:val="left"/>
      <w:pPr>
        <w:tabs>
          <w:tab w:val="left" w:pos="2940"/>
        </w:tabs>
        <w:ind w:left="3340" w:hanging="420"/>
      </w:pPr>
      <w:rPr>
        <w:rFonts w:hint="default"/>
      </w:rPr>
    </w:lvl>
    <w:lvl w:ilvl="7" w:tentative="0">
      <w:start w:val="1"/>
      <w:numFmt w:val="lowerRoman"/>
      <w:lvlText w:val="%8)"/>
      <w:lvlJc w:val="left"/>
      <w:pPr>
        <w:tabs>
          <w:tab w:val="left" w:pos="3360"/>
        </w:tabs>
        <w:ind w:left="3760" w:hanging="420"/>
      </w:pPr>
      <w:rPr>
        <w:rFonts w:hint="default"/>
      </w:rPr>
    </w:lvl>
    <w:lvl w:ilvl="8" w:tentative="0">
      <w:start w:val="1"/>
      <w:numFmt w:val="lowerLetter"/>
      <w:lvlText w:val="%9."/>
      <w:lvlJc w:val="left"/>
      <w:pPr>
        <w:tabs>
          <w:tab w:val="left" w:pos="3780"/>
        </w:tabs>
        <w:ind w:left="4180" w:hanging="420"/>
      </w:pPr>
      <w:rPr>
        <w:rFonts w:hint="default"/>
      </w:rPr>
    </w:lvl>
  </w:abstractNum>
  <w:abstractNum w:abstractNumId="2">
    <w:nsid w:val="28B04400"/>
    <w:multiLevelType w:val="singleLevel"/>
    <w:tmpl w:val="28B04400"/>
    <w:lvl w:ilvl="0" w:tentative="0">
      <w:start w:val="1"/>
      <w:numFmt w:val="decimal"/>
      <w:suff w:val="nothing"/>
      <w:lvlText w:val="%1、"/>
      <w:lvlJc w:val="left"/>
      <w:pPr>
        <w:ind w:left="0" w:firstLine="42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87BD1"/>
    <w:rsid w:val="16B87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firstLine="420" w:firstLineChars="200"/>
    </w:pPr>
    <w:rPr>
      <w:rFonts w:ascii="Times New Roman" w:hAnsi="Times New Roman"/>
      <w:sz w:val="21"/>
      <w:szCs w:val="24"/>
    </w:rPr>
  </w:style>
  <w:style w:type="paragraph" w:styleId="3">
    <w:name w:val="Body Text Indent"/>
    <w:basedOn w:val="1"/>
    <w:qFormat/>
    <w:uiPriority w:val="0"/>
    <w:pPr>
      <w:widowControl/>
      <w:ind w:left="420" w:leftChars="200"/>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2025-07-08T08:34:00Z</dcterms:created>
  <dc:creator>杜航</dc:creator>
  <cp:lastModifiedBy>杜航</cp:lastModifiedBy>
  <dcterms:modified xsi:type="dcterms:W3CDTF">2025-07-08T08:34:29Z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DD55FD13C3394601922E81747EF226F7_11</vt:lpwstr>
  </property>
  <property fmtid="{D5CDD505-2E9C-101B-9397-08002B2CF9AE}" pid="4" name="KSOTemplateDocerSaveRecord">
    <vt:lpwstr>eyJoZGlkIjoiYTYwNWE2MmNhNzRiMDNhMjMzYTJhNjIzZjY2YmY0MGMiLCJ1c2VySWQiOiIzMDgwODY2MDYifQ==</vt:lpwstr>
  </property>
</Properties>
</file>