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版本号：SCHS2025-03920250724001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雁塔区第二十五幼儿园操场改扩建工程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SCHS2025-039</w:t>
      </w:r>
      <w:r>
        <w:br/>
      </w:r>
      <w:r>
        <w:br/>
      </w:r>
      <w:r>
        <w:br/>
      </w:r>
    </w:p>
    <w:p>
      <w:pPr>
        <w:pStyle w:val="null3"/>
        <w:jc w:val="center"/>
        <w:outlineLvl w:val="2"/>
      </w:pPr>
      <w:r>
        <w:rPr>
          <w:rFonts w:ascii="仿宋_GB2312" w:hAnsi="仿宋_GB2312" w:cs="仿宋_GB2312" w:eastAsia="仿宋_GB2312"/>
          <w:sz w:val="28"/>
          <w:b/>
        </w:rPr>
        <w:t>西安市雁塔区第二十五幼儿园</w:t>
      </w:r>
    </w:p>
    <w:p>
      <w:pPr>
        <w:pStyle w:val="null3"/>
        <w:jc w:val="center"/>
        <w:outlineLvl w:val="2"/>
      </w:pPr>
      <w:r>
        <w:rPr>
          <w:rFonts w:ascii="仿宋_GB2312" w:hAnsi="仿宋_GB2312" w:cs="仿宋_GB2312" w:eastAsia="仿宋_GB2312"/>
          <w:sz w:val="28"/>
          <w:b/>
        </w:rPr>
        <w:t>陕西实创恒升工程咨询有限公司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陕西实创恒升工程咨询有限公司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西安市雁塔区第二十五幼儿园</w:t>
      </w:r>
      <w:r>
        <w:rPr>
          <w:rFonts w:ascii="仿宋_GB2312" w:hAnsi="仿宋_GB2312" w:cs="仿宋_GB2312" w:eastAsia="仿宋_GB2312"/>
        </w:rPr>
        <w:t>委托，拟对</w:t>
      </w:r>
      <w:r>
        <w:rPr>
          <w:rFonts w:ascii="仿宋_GB2312" w:hAnsi="仿宋_GB2312" w:cs="仿宋_GB2312" w:eastAsia="仿宋_GB2312"/>
        </w:rPr>
        <w:t>雁塔区第二十五幼儿园操场改扩建工程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SCHS2025-039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雁塔区第二十五幼儿园操场改扩建工程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雁塔区第二十五幼儿园操场改扩建工程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采购包1（操场改扩建工程）：属于专门面向中小企业采购。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西安市雁塔区第二十五幼儿园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西安市雁塔区南三环与子午大道东南角奥园和悦府小区内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陕西实创恒升工程咨询有限公司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陕西省西安市碑林区含光北路2号1B1幢22401室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采购包1：476,958.74元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代理服务费收费标准：1、按《国家发展改革委关于进一步放开建设项目专业服务价格的通知》(发改价格[2015]299号)的有关规定执行。 2、成交单位在领取成交通知书前，须向采购代理机构一次性支付采购代理服务费。 名称: 陕西实创恒升工程咨询有限公司 开户行:中信银行西安西大街支行 行号：302791025162 账号: 8111701011200789135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西安市雁塔区第二十五幼儿园</w:t>
      </w:r>
      <w:r>
        <w:rPr>
          <w:rFonts w:ascii="仿宋_GB2312" w:hAnsi="仿宋_GB2312" w:cs="仿宋_GB2312" w:eastAsia="仿宋_GB2312"/>
        </w:rPr>
        <w:t>和</w:t>
      </w:r>
      <w:r>
        <w:rPr>
          <w:rFonts w:ascii="仿宋_GB2312" w:hAnsi="仿宋_GB2312" w:cs="仿宋_GB2312" w:eastAsia="仿宋_GB2312"/>
        </w:rPr>
        <w:t>陕西实创恒升工程咨询有限公司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西安市雁塔区第二十五幼儿园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陕西实创恒升工程咨询有限公司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西安市雁塔区第二十五幼儿园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陕西实创恒升工程咨询有限公司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陕西实创恒升工程咨询有限公司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联系人：徐工</w:t>
      </w:r>
    </w:p>
    <w:p>
      <w:pPr>
        <w:pStyle w:val="null3"/>
      </w:pPr>
      <w:r>
        <w:rPr>
          <w:rFonts w:ascii="仿宋_GB2312" w:hAnsi="仿宋_GB2312" w:cs="仿宋_GB2312" w:eastAsia="仿宋_GB2312"/>
        </w:rPr>
        <w:t>联系电话：029-85235322</w:t>
      </w:r>
    </w:p>
    <w:p>
      <w:pPr>
        <w:pStyle w:val="null3"/>
      </w:pPr>
      <w:r>
        <w:rPr>
          <w:rFonts w:ascii="仿宋_GB2312" w:hAnsi="仿宋_GB2312" w:cs="仿宋_GB2312" w:eastAsia="仿宋_GB2312"/>
        </w:rPr>
        <w:t>地址：陕西省西安市碑林区含光北路2号1B1幢22401室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476,958.74</w:t>
      </w:r>
    </w:p>
    <w:p>
      <w:pPr>
        <w:pStyle w:val="null3"/>
      </w:pPr>
      <w:r>
        <w:rPr>
          <w:rFonts w:ascii="仿宋_GB2312" w:hAnsi="仿宋_GB2312" w:cs="仿宋_GB2312" w:eastAsia="仿宋_GB2312"/>
        </w:rPr>
        <w:t>采购包最高限价（元）: 476,958.74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操场改扩建工程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476,958.74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标的名称：操场改扩建工程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36"/>
              <w:jc w:val="left"/>
            </w:pPr>
            <w:r>
              <w:rPr>
                <w:rFonts w:ascii="仿宋_GB2312" w:hAnsi="仿宋_GB2312" w:cs="仿宋_GB2312" w:eastAsia="仿宋_GB2312"/>
                <w:sz w:val="32"/>
                <w:color w:val="000000"/>
              </w:rPr>
              <w:t>一、工程概况</w:t>
            </w:r>
          </w:p>
          <w:p>
            <w:pPr>
              <w:pStyle w:val="null3"/>
              <w:ind w:firstLine="556"/>
              <w:jc w:val="left"/>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雁塔区第二十五幼儿园操场改扩建工程</w:t>
            </w:r>
          </w:p>
          <w:p>
            <w:pPr>
              <w:pStyle w:val="null3"/>
              <w:ind w:firstLine="556"/>
              <w:jc w:val="left"/>
            </w:pPr>
            <w:r>
              <w:rPr>
                <w:rFonts w:ascii="仿宋_GB2312" w:hAnsi="仿宋_GB2312" w:cs="仿宋_GB2312" w:eastAsia="仿宋_GB2312"/>
                <w:sz w:val="28"/>
                <w:color w:val="000000"/>
              </w:rPr>
              <w:t>建设地点：西安市雁塔区第二十五幼儿园内</w:t>
            </w:r>
          </w:p>
          <w:p>
            <w:pPr>
              <w:pStyle w:val="null3"/>
              <w:ind w:firstLine="556"/>
              <w:jc w:val="left"/>
            </w:pPr>
            <w:r>
              <w:rPr>
                <w:rFonts w:ascii="仿宋_GB2312" w:hAnsi="仿宋_GB2312" w:cs="仿宋_GB2312" w:eastAsia="仿宋_GB2312"/>
                <w:sz w:val="28"/>
                <w:color w:val="000000"/>
              </w:rPr>
              <w:t>建设单位：西安市雁塔区第二十五幼儿园</w:t>
            </w:r>
          </w:p>
          <w:p>
            <w:pPr>
              <w:pStyle w:val="null3"/>
              <w:ind w:firstLine="556"/>
              <w:jc w:val="left"/>
            </w:pPr>
            <w:r>
              <w:rPr>
                <w:rFonts w:ascii="仿宋_GB2312" w:hAnsi="仿宋_GB2312" w:cs="仿宋_GB2312" w:eastAsia="仿宋_GB2312"/>
                <w:sz w:val="28"/>
                <w:color w:val="000000"/>
              </w:rPr>
              <w:t>工程内容：新做围墙、水池、工具间、洗手洗脚池等相关内容，具体详见工程量清单。</w:t>
            </w:r>
          </w:p>
          <w:p>
            <w:pPr>
              <w:pStyle w:val="null3"/>
              <w:ind w:firstLine="636"/>
              <w:jc w:val="left"/>
            </w:pPr>
            <w:r>
              <w:rPr>
                <w:rFonts w:ascii="仿宋_GB2312" w:hAnsi="仿宋_GB2312" w:cs="仿宋_GB2312" w:eastAsia="仿宋_GB2312"/>
                <w:sz w:val="32"/>
                <w:color w:val="000000"/>
              </w:rPr>
              <w:t>二、编制范围</w:t>
            </w:r>
          </w:p>
          <w:p>
            <w:pPr>
              <w:pStyle w:val="null3"/>
              <w:ind w:firstLine="556"/>
              <w:jc w:val="left"/>
            </w:pPr>
            <w:r>
              <w:rPr>
                <w:rFonts w:ascii="仿宋_GB2312" w:hAnsi="仿宋_GB2312" w:cs="仿宋_GB2312" w:eastAsia="仿宋_GB2312"/>
                <w:sz w:val="28"/>
                <w:color w:val="000000"/>
              </w:rPr>
              <w:t>雁塔区第二十五幼儿园操场改扩建工程图纸</w:t>
            </w:r>
            <w:r>
              <w:rPr>
                <w:rFonts w:ascii="仿宋_GB2312" w:hAnsi="仿宋_GB2312" w:cs="仿宋_GB2312" w:eastAsia="仿宋_GB2312"/>
                <w:sz w:val="28"/>
                <w:color w:val="000000"/>
              </w:rPr>
              <w:t>范围所有内容。</w:t>
            </w:r>
          </w:p>
          <w:p>
            <w:pPr>
              <w:pStyle w:val="null3"/>
              <w:ind w:firstLine="636"/>
              <w:jc w:val="left"/>
            </w:pPr>
            <w:r>
              <w:rPr>
                <w:rFonts w:ascii="仿宋_GB2312" w:hAnsi="仿宋_GB2312" w:cs="仿宋_GB2312" w:eastAsia="仿宋_GB2312"/>
                <w:sz w:val="32"/>
                <w:color w:val="000000"/>
              </w:rPr>
              <w:t>三、编制依据</w:t>
            </w:r>
          </w:p>
          <w:p>
            <w:pPr>
              <w:pStyle w:val="null3"/>
              <w:ind w:firstLine="556"/>
              <w:jc w:val="left"/>
            </w:pPr>
            <w:r>
              <w:rPr>
                <w:rFonts w:ascii="仿宋_GB2312" w:hAnsi="仿宋_GB2312" w:cs="仿宋_GB2312" w:eastAsia="仿宋_GB2312"/>
                <w:sz w:val="28"/>
                <w:color w:val="000000"/>
              </w:rPr>
              <w:t>1.《陕西省建设工程工程量清单计价标准及计算标准（2025）》；</w:t>
            </w:r>
          </w:p>
          <w:p>
            <w:pPr>
              <w:pStyle w:val="null3"/>
              <w:ind w:firstLine="556"/>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雁塔区第二十五幼儿园操场改扩建工程</w:t>
            </w:r>
            <w:r>
              <w:rPr>
                <w:rFonts w:ascii="仿宋_GB2312" w:hAnsi="仿宋_GB2312" w:cs="仿宋_GB2312" w:eastAsia="仿宋_GB2312"/>
                <w:sz w:val="28"/>
                <w:color w:val="000000"/>
              </w:rPr>
              <w:t>设计图纸；</w:t>
            </w:r>
          </w:p>
          <w:p>
            <w:pPr>
              <w:pStyle w:val="null3"/>
              <w:ind w:firstLine="556"/>
              <w:jc w:val="left"/>
            </w:pPr>
            <w:r>
              <w:rPr>
                <w:rFonts w:ascii="仿宋_GB2312" w:hAnsi="仿宋_GB2312" w:cs="仿宋_GB2312" w:eastAsia="仿宋_GB2312"/>
                <w:sz w:val="28"/>
                <w:color w:val="000000"/>
              </w:rPr>
              <w:t>3.与建设工程项目有关的标准、规范、图集、技术资料；</w:t>
            </w:r>
          </w:p>
          <w:p>
            <w:pPr>
              <w:pStyle w:val="null3"/>
              <w:ind w:firstLine="556"/>
              <w:jc w:val="left"/>
            </w:pPr>
            <w:r>
              <w:rPr>
                <w:rFonts w:ascii="仿宋_GB2312" w:hAnsi="仿宋_GB2312" w:cs="仿宋_GB2312" w:eastAsia="仿宋_GB2312"/>
                <w:sz w:val="28"/>
                <w:color w:val="000000"/>
              </w:rPr>
              <w:t>4.施工现场情况、工程特点及常规施工方案；</w:t>
            </w:r>
          </w:p>
          <w:p>
            <w:pPr>
              <w:pStyle w:val="null3"/>
              <w:ind w:firstLine="556"/>
              <w:jc w:val="left"/>
            </w:pPr>
            <w:r>
              <w:rPr>
                <w:rFonts w:ascii="仿宋_GB2312" w:hAnsi="仿宋_GB2312" w:cs="仿宋_GB2312" w:eastAsia="仿宋_GB2312"/>
                <w:sz w:val="28"/>
                <w:color w:val="000000"/>
              </w:rPr>
              <w:t>5.其他相关资料。</w:t>
            </w:r>
          </w:p>
          <w:p>
            <w:pPr>
              <w:pStyle w:val="null3"/>
              <w:ind w:firstLine="636"/>
              <w:jc w:val="left"/>
            </w:pPr>
            <w:r>
              <w:rPr>
                <w:rFonts w:ascii="仿宋_GB2312" w:hAnsi="仿宋_GB2312" w:cs="仿宋_GB2312" w:eastAsia="仿宋_GB2312"/>
                <w:sz w:val="32"/>
                <w:color w:val="000000"/>
              </w:rPr>
              <w:t>四、其他需说明事项</w:t>
            </w:r>
          </w:p>
          <w:p>
            <w:pPr>
              <w:pStyle w:val="null3"/>
              <w:ind w:left="420"/>
              <w:jc w:val="left"/>
            </w:pPr>
            <w:r>
              <w:rPr>
                <w:rFonts w:ascii="仿宋_GB2312" w:hAnsi="仿宋_GB2312" w:cs="仿宋_GB2312" w:eastAsia="仿宋_GB2312"/>
                <w:sz w:val="28"/>
                <w:color w:val="000000"/>
              </w:rPr>
              <w:t>1.编制软件采用广联达云计价平台GCCP7.0软件，版本号7.5000.23.1。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1、工期：45天 2、付款方式：工程验收合格且出具正式项目竣工结算审计报告后，一次性支付审定造价的97%，留审定造价3%作为质保金，质保期满后无质量问题一次性无息退还；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