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版本号：2025-HXCT-07820250724002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雁塔区第八小学2025年义务教育薄弱环节改善与能力提升补助资金设备采购项目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2025-HXCT-078</w:t>
      </w:r>
      <w:r>
        <w:br/>
      </w:r>
      <w:r>
        <w:br/>
      </w:r>
      <w:r>
        <w:br/>
      </w:r>
    </w:p>
    <w:p>
      <w:pPr>
        <w:pStyle w:val="null3"/>
        <w:jc w:val="center"/>
        <w:outlineLvl w:val="2"/>
      </w:pPr>
      <w:r>
        <w:rPr>
          <w:rFonts w:ascii="仿宋_GB2312" w:hAnsi="仿宋_GB2312" w:cs="仿宋_GB2312" w:eastAsia="仿宋_GB2312"/>
          <w:sz w:val="28"/>
          <w:b/>
        </w:rPr>
        <w:t>西安市雁塔区第八小学</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西安市雁塔区第八小学</w:t>
      </w:r>
      <w:r>
        <w:rPr>
          <w:rFonts w:ascii="仿宋_GB2312" w:hAnsi="仿宋_GB2312" w:cs="仿宋_GB2312" w:eastAsia="仿宋_GB2312"/>
        </w:rPr>
        <w:t>委托，拟对</w:t>
      </w:r>
      <w:r>
        <w:rPr>
          <w:rFonts w:ascii="仿宋_GB2312" w:hAnsi="仿宋_GB2312" w:cs="仿宋_GB2312" w:eastAsia="仿宋_GB2312"/>
        </w:rPr>
        <w:t>雁塔区第八小学2025年义务教育薄弱环节改善与能力提升补助资金设备采购项目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2025-HXCT-078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雁塔区第八小学2025年义务教育薄弱环节改善与能力提升补助资金设备采购项目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雁塔区第八小学2025年义务教育薄弱环节改善与能力提升补助资金设备采购项目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采购包1（教室扩音设备等）：属于专门面向中小企业采购。</w:t>
      </w:r>
    </w:p>
    <w:p>
      <w:pPr>
        <w:pStyle w:val="null3"/>
      </w:pPr>
      <w:r>
        <w:rPr>
          <w:rFonts w:ascii="仿宋_GB2312" w:hAnsi="仿宋_GB2312" w:cs="仿宋_GB2312" w:eastAsia="仿宋_GB2312"/>
        </w:rPr>
        <w:t>采购包2（护眼灯、标牌、办公桌、讲桌等）：属于专门面向中小企业采购。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2、纳税证明：提供谈判截止日前六个月内已缴纳的至少一个月的纳税证明或完税证明，依法免税的单位应提供相关证明材料。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3、社保证明：提供谈判截止日前六个月内已缴存的至少一个月的社会保障资金缴存单据或社保机构开具的社会保险参保缴费情况证明，依法不需要缴纳社会保障资金的单位应提供相关证明材料。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7、非联合体声明：本项目不接受联合体投标。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2、纳税证明：提供谈判截止日前六个月内已缴纳的至少一个月的纳税证明或完税证明，依法免税的单位应提供相关证明材料。</w:t>
      </w:r>
    </w:p>
    <w:p>
      <w:pPr>
        <w:pStyle w:val="null3"/>
      </w:pPr>
      <w:r>
        <w:rPr>
          <w:rFonts w:ascii="仿宋_GB2312" w:hAnsi="仿宋_GB2312" w:cs="仿宋_GB2312" w:eastAsia="仿宋_GB2312"/>
        </w:rPr>
        <w:t>3、社保证明：提供谈判截止日前六个月内已缴存的至少一个月的社会保障资金缴存单据或社保机构开具的社会保险参保缴费情况证明，依法不需要缴纳社会保障资金的单位应提供相关证明材料。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4、三年无违法声明 ：参加政府采购活动前3年内，在经营活动中没有重大违法记录的书面声明。</w:t>
      </w:r>
    </w:p>
    <w:p>
      <w:pPr>
        <w:pStyle w:val="null3"/>
      </w:pPr>
      <w:r>
        <w:rPr>
          <w:rFonts w:ascii="仿宋_GB2312" w:hAnsi="仿宋_GB2312" w:cs="仿宋_GB2312" w:eastAsia="仿宋_GB2312"/>
        </w:rPr>
        <w:t>5、履约能力声明：提供具有履行合同所必需的设备和专业技术能力的承诺。</w:t>
      </w:r>
    </w:p>
    <w:p>
      <w:pPr>
        <w:pStyle w:val="null3"/>
      </w:pPr>
      <w:r>
        <w:rPr>
          <w:rFonts w:ascii="仿宋_GB2312" w:hAnsi="仿宋_GB2312" w:cs="仿宋_GB2312" w:eastAsia="仿宋_GB2312"/>
        </w:rPr>
        <w:t>6、身份证明：法定代表人直接参加投标的，须提供法定代表人身份证明；法定代表人授权代表参加投标的，须提供法定代表人授权委托书。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7、非联合体声明：本项目不接受联合体投标。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西安市雁塔区第八小学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昆明路与大寨路之间</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17602939819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采购包1：488,000.00元</w:t>
            </w:r>
          </w:p>
          <w:p>
            <w:pPr>
              <w:pStyle w:val="null3"/>
            </w:pPr>
            <w:r>
              <w:rPr>
                <w:rFonts w:ascii="仿宋_GB2312" w:hAnsi="仿宋_GB2312" w:cs="仿宋_GB2312" w:eastAsia="仿宋_GB2312"/>
              </w:rPr>
              <w:t>采购包2：252,000.00元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代理服务费收费标准：1、参照《国家发展改革委关于进一步放开建设项目专业服务价格的通知》（发改价格〔2015〕299号）的有关规定计取4000元整。 开户名称：华夏城投项目管理有限公司 开户银行：招商银行股份有限公司西安城北支行 账号：129914077110901 备注：项目名称代理服务费 2、成交单位在领取成交通知书前，须向采购代理机构一次性支付采购代理服务费。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西安市雁塔区第八小学</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西安市雁塔区第八小学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西安市雁塔区第八小学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华夏城投项目管理有限公司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联系电话：17602939819</w:t>
      </w:r>
    </w:p>
    <w:p>
      <w:pPr>
        <w:pStyle w:val="null3"/>
      </w:pPr>
      <w:r>
        <w:rPr>
          <w:rFonts w:ascii="仿宋_GB2312" w:hAnsi="仿宋_GB2312" w:cs="仿宋_GB2312" w:eastAsia="仿宋_GB2312"/>
        </w:rPr>
        <w:t>地址：西安市未央区凤城七路长和国际D座26层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雁塔区第八小学2025年义务教育薄弱环节改善与能力提升补助资金设备采购项目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488,000.00</w:t>
      </w:r>
    </w:p>
    <w:p>
      <w:pPr>
        <w:pStyle w:val="null3"/>
      </w:pPr>
      <w:r>
        <w:rPr>
          <w:rFonts w:ascii="仿宋_GB2312" w:hAnsi="仿宋_GB2312" w:cs="仿宋_GB2312" w:eastAsia="仿宋_GB2312"/>
        </w:rPr>
        <w:t>采购包最高限价（元）: 488,000.00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教室扩音设备等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252,000.00</w:t>
      </w:r>
    </w:p>
    <w:p>
      <w:pPr>
        <w:pStyle w:val="null3"/>
      </w:pPr>
      <w:r>
        <w:rPr>
          <w:rFonts w:ascii="仿宋_GB2312" w:hAnsi="仿宋_GB2312" w:cs="仿宋_GB2312" w:eastAsia="仿宋_GB2312"/>
        </w:rPr>
        <w:t>采购包最高限价（元）: 252,000.00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护眼灯、标牌。办公桌、讲桌等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标的名称：教室扩音设备等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8"/>
              <w:gridCol w:w="220"/>
              <w:gridCol w:w="1618"/>
              <w:gridCol w:w="178"/>
              <w:gridCol w:w="286"/>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称</w:t>
                  </w:r>
                </w:p>
              </w:tc>
              <w:tc>
                <w:tcPr>
                  <w:tcW w:type="dxa" w:w="16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规格参数</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无感扩音麦克风</w:t>
                  </w:r>
                  <w:r>
                    <w:rPr>
                      <w:rFonts w:ascii="仿宋_GB2312" w:hAnsi="仿宋_GB2312" w:cs="仿宋_GB2312" w:eastAsia="仿宋_GB2312"/>
                      <w:sz w:val="24"/>
                      <w:color w:val="000000"/>
                    </w:rPr>
                    <w:t>（</w:t>
                  </w:r>
                  <w:r>
                    <w:rPr>
                      <w:rFonts w:ascii="仿宋_GB2312" w:hAnsi="仿宋_GB2312" w:cs="仿宋_GB2312" w:eastAsia="仿宋_GB2312"/>
                      <w:sz w:val="24"/>
                      <w:color w:val="000000"/>
                    </w:rPr>
                    <w:t>核心产品</w:t>
                  </w:r>
                  <w:r>
                    <w:rPr>
                      <w:rFonts w:ascii="仿宋_GB2312" w:hAnsi="仿宋_GB2312" w:cs="仿宋_GB2312" w:eastAsia="仿宋_GB2312"/>
                      <w:sz w:val="24"/>
                      <w:color w:val="000000"/>
                    </w:rPr>
                    <w:t>）</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1.类型：360°全指向数字阵列麦克风。</w:t>
                  </w:r>
                  <w:r>
                    <w:br/>
                  </w:r>
                  <w:r>
                    <w:rPr>
                      <w:rFonts w:ascii="仿宋_GB2312" w:hAnsi="仿宋_GB2312" w:cs="仿宋_GB2312" w:eastAsia="仿宋_GB2312"/>
                      <w:sz w:val="24"/>
                      <w:color w:val="000000"/>
                    </w:rPr>
                    <w:t>★2.内置嵌入式软件和音频处理模块，免配置即插即用；无需使用额外的音频处理主机。提供相关证明材料并加盖厂商公章或投标章进行佐证。</w:t>
                  </w:r>
                  <w:r>
                    <w:br/>
                  </w:r>
                  <w:r>
                    <w:rPr>
                      <w:rFonts w:ascii="仿宋_GB2312" w:hAnsi="仿宋_GB2312" w:cs="仿宋_GB2312" w:eastAsia="仿宋_GB2312"/>
                      <w:sz w:val="24"/>
                      <w:color w:val="000000"/>
                    </w:rPr>
                    <w:t>3.拾音距离：≥3米拾音距离。</w:t>
                  </w:r>
                  <w:r>
                    <w:br/>
                  </w:r>
                  <w:r>
                    <w:rPr>
                      <w:rFonts w:ascii="仿宋_GB2312" w:hAnsi="仿宋_GB2312" w:cs="仿宋_GB2312" w:eastAsia="仿宋_GB2312"/>
                      <w:sz w:val="24"/>
                      <w:color w:val="000000"/>
                    </w:rPr>
                    <w:t>★4.支持本地扩音，无需通过调音台、音频处理器等设备即可直接连接扬声器进行麦克风扩音。提供相关证明材料并加盖厂商公章或投标章进行佐证。</w:t>
                  </w:r>
                  <w:r>
                    <w:br/>
                  </w:r>
                  <w:r>
                    <w:rPr>
                      <w:rFonts w:ascii="仿宋_GB2312" w:hAnsi="仿宋_GB2312" w:cs="仿宋_GB2312" w:eastAsia="仿宋_GB2312"/>
                      <w:sz w:val="24"/>
                      <w:color w:val="000000"/>
                    </w:rPr>
                    <w:t>★5.音频输出接口：spk-out≥2（3.5mm）。提供相关证明材料并加盖厂商公章或投标章进行佐证。</w:t>
                  </w:r>
                  <w:r>
                    <w:br/>
                  </w:r>
                  <w:r>
                    <w:rPr>
                      <w:rFonts w:ascii="仿宋_GB2312" w:hAnsi="仿宋_GB2312" w:cs="仿宋_GB2312" w:eastAsia="仿宋_GB2312"/>
                      <w:sz w:val="24"/>
                      <w:color w:val="000000"/>
                    </w:rPr>
                    <w:t>★6.供电接口：USB，DC5V。提供相关证明材料并加盖厂商公章或投标章进行佐证。</w:t>
                  </w:r>
                  <w:r>
                    <w:br/>
                  </w:r>
                  <w:r>
                    <w:rPr>
                      <w:rFonts w:ascii="仿宋_GB2312" w:hAnsi="仿宋_GB2312" w:cs="仿宋_GB2312" w:eastAsia="仿宋_GB2312"/>
                      <w:sz w:val="24"/>
                      <w:color w:val="000000"/>
                    </w:rPr>
                    <w:t>7.频率响应：30Hz-16kHz±1db。</w:t>
                  </w:r>
                  <w:r>
                    <w:br/>
                  </w:r>
                  <w:r>
                    <w:rPr>
                      <w:rFonts w:ascii="仿宋_GB2312" w:hAnsi="仿宋_GB2312" w:cs="仿宋_GB2312" w:eastAsia="仿宋_GB2312"/>
                      <w:sz w:val="24"/>
                      <w:color w:val="000000"/>
                    </w:rPr>
                    <w:t>8.灵敏度：-26dBFS。</w:t>
                  </w:r>
                  <w:r>
                    <w:br/>
                  </w:r>
                  <w:r>
                    <w:rPr>
                      <w:rFonts w:ascii="仿宋_GB2312" w:hAnsi="仿宋_GB2312" w:cs="仿宋_GB2312" w:eastAsia="仿宋_GB2312"/>
                      <w:sz w:val="24"/>
                      <w:color w:val="000000"/>
                    </w:rPr>
                    <w:t>9.信噪比：≥64dB(A计权)。</w:t>
                  </w:r>
                  <w:r>
                    <w:br/>
                  </w:r>
                  <w:r>
                    <w:rPr>
                      <w:rFonts w:ascii="仿宋_GB2312" w:hAnsi="仿宋_GB2312" w:cs="仿宋_GB2312" w:eastAsia="仿宋_GB2312"/>
                      <w:sz w:val="24"/>
                      <w:color w:val="000000"/>
                    </w:rPr>
                    <w:t>★10.具备反馈抑制功能，提供相关证明材料并加盖厂商公章或投标章进行佐证。</w:t>
                  </w:r>
                  <w:r>
                    <w:br/>
                  </w:r>
                  <w:r>
                    <w:rPr>
                      <w:rFonts w:ascii="仿宋_GB2312" w:hAnsi="仿宋_GB2312" w:cs="仿宋_GB2312" w:eastAsia="仿宋_GB2312"/>
                      <w:sz w:val="24"/>
                      <w:color w:val="000000"/>
                    </w:rPr>
                    <w:t>★11.音频端到端延时，即从扬声器输出声信号到麦克风输出信号之间的差值≤18ms，扩声听感无回声。提供相关证明材料并加盖厂商公章或投标章进行佐证。</w:t>
                  </w:r>
                  <w:r>
                    <w:br/>
                  </w:r>
                  <w:r>
                    <w:rPr>
                      <w:rFonts w:ascii="仿宋_GB2312" w:hAnsi="仿宋_GB2312" w:cs="仿宋_GB2312" w:eastAsia="仿宋_GB2312"/>
                      <w:sz w:val="24"/>
                      <w:color w:val="000000"/>
                    </w:rPr>
                    <w:t>★12.具备智能噪声抑制功能，抑制量≥35dB。提供相关证明材料并加盖厂商公章或投标章进行佐证。</w:t>
                  </w:r>
                  <w:r>
                    <w:br/>
                  </w:r>
                  <w:r>
                    <w:rPr>
                      <w:rFonts w:ascii="仿宋_GB2312" w:hAnsi="仿宋_GB2312" w:cs="仿宋_GB2312" w:eastAsia="仿宋_GB2312"/>
                      <w:sz w:val="24"/>
                      <w:color w:val="000000"/>
                    </w:rPr>
                    <w:t>13.具备音频效果自适应校准能力。</w:t>
                  </w:r>
                  <w:r>
                    <w:br/>
                  </w:r>
                  <w:r>
                    <w:rPr>
                      <w:rFonts w:ascii="仿宋_GB2312" w:hAnsi="仿宋_GB2312" w:cs="仿宋_GB2312" w:eastAsia="仿宋_GB2312"/>
                      <w:sz w:val="24"/>
                      <w:color w:val="000000"/>
                    </w:rPr>
                    <w:t>14.具备自动混响抑制算法，有效抑制教室混响时间。</w:t>
                  </w:r>
                  <w:r>
                    <w:br/>
                  </w:r>
                  <w:r>
                    <w:rPr>
                      <w:rFonts w:ascii="仿宋_GB2312" w:hAnsi="仿宋_GB2312" w:cs="仿宋_GB2312" w:eastAsia="仿宋_GB2312"/>
                      <w:sz w:val="24"/>
                      <w:color w:val="000000"/>
                    </w:rPr>
                    <w:t>★15.具备自动增益功能，提供相关证明材料并加盖厂商公章或投标章进行佐证。</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有源音箱</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1.有源音箱，无需额外配置功放设备。</w:t>
                  </w:r>
                  <w:r>
                    <w:br/>
                  </w:r>
                  <w:r>
                    <w:rPr>
                      <w:rFonts w:ascii="仿宋_GB2312" w:hAnsi="仿宋_GB2312" w:cs="仿宋_GB2312" w:eastAsia="仿宋_GB2312"/>
                      <w:sz w:val="24"/>
                      <w:color w:val="000000"/>
                    </w:rPr>
                    <w:t>2.标准3.5mm音频接口，连接麦克风无需其他设备协议转换。</w:t>
                  </w:r>
                  <w:r>
                    <w:br/>
                  </w:r>
                  <w:r>
                    <w:rPr>
                      <w:rFonts w:ascii="仿宋_GB2312" w:hAnsi="仿宋_GB2312" w:cs="仿宋_GB2312" w:eastAsia="仿宋_GB2312"/>
                      <w:sz w:val="24"/>
                      <w:color w:val="000000"/>
                    </w:rPr>
                    <w:t>3.功率不小于8W+8W。</w:t>
                  </w:r>
                  <w:r>
                    <w:br/>
                  </w:r>
                  <w:r>
                    <w:rPr>
                      <w:rFonts w:ascii="仿宋_GB2312" w:hAnsi="仿宋_GB2312" w:cs="仿宋_GB2312" w:eastAsia="仿宋_GB2312"/>
                      <w:sz w:val="24"/>
                      <w:color w:val="000000"/>
                    </w:rPr>
                    <w:t>4.信噪比不小于85dB。</w:t>
                  </w:r>
                  <w:r>
                    <w:br/>
                  </w:r>
                  <w:r>
                    <w:rPr>
                      <w:rFonts w:ascii="仿宋_GB2312" w:hAnsi="仿宋_GB2312" w:cs="仿宋_GB2312" w:eastAsia="仿宋_GB2312"/>
                      <w:sz w:val="24"/>
                      <w:color w:val="000000"/>
                    </w:rPr>
                    <w:t>5.频响范围不小于70Hz-20kHz。</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智慧教学终端</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一、整体设计</w:t>
                  </w:r>
                  <w:r>
                    <w:br/>
                  </w:r>
                  <w:r>
                    <w:rPr>
                      <w:rFonts w:ascii="仿宋_GB2312" w:hAnsi="仿宋_GB2312" w:cs="仿宋_GB2312" w:eastAsia="仿宋_GB2312"/>
                      <w:sz w:val="24"/>
                      <w:color w:val="000000"/>
                    </w:rPr>
                    <w:t>★1.整体功能：ARM嵌入式架构，基于Linux操作系统。要求采用一体式集成化设计，内置视音频互动、视频录制、实时直播、音频处理功能。提供上述功能的证明材料并加盖厂家投标公章或专用章；</w:t>
                  </w:r>
                  <w:r>
                    <w:br/>
                  </w:r>
                  <w:r>
                    <w:rPr>
                      <w:rFonts w:ascii="仿宋_GB2312" w:hAnsi="仿宋_GB2312" w:cs="仿宋_GB2312" w:eastAsia="仿宋_GB2312"/>
                      <w:sz w:val="24"/>
                      <w:color w:val="000000"/>
                    </w:rPr>
                    <w:t>★2.视频接口：HDMI in≥1和Digital Video in（RJ45）≥1、HDMI out≥1；提供上述功能的证明材料并加盖厂家投标公章或专用章；</w:t>
                  </w:r>
                  <w:r>
                    <w:br/>
                  </w:r>
                  <w:r>
                    <w:rPr>
                      <w:rFonts w:ascii="仿宋_GB2312" w:hAnsi="仿宋_GB2312" w:cs="仿宋_GB2312" w:eastAsia="仿宋_GB2312"/>
                      <w:sz w:val="24"/>
                      <w:color w:val="000000"/>
                    </w:rPr>
                    <w:t>★3.音频接口：Digital MIC（RJ45）≥2，Line in≥1，Line out≥1；提供上述功能的证明材料并加盖厂家投标公章或专用章；</w:t>
                  </w:r>
                  <w:r>
                    <w:br/>
                  </w:r>
                  <w:r>
                    <w:rPr>
                      <w:rFonts w:ascii="仿宋_GB2312" w:hAnsi="仿宋_GB2312" w:cs="仿宋_GB2312" w:eastAsia="仿宋_GB2312"/>
                      <w:sz w:val="24"/>
                      <w:color w:val="000000"/>
                    </w:rPr>
                    <w:t>★4.数字视频接口支持外接高清摄像机，外接摄像机直接传输高清视频裸数据，避免网络摄像机编码传输延时性和传输过程的损耗，实现高清视频信号的无延时、低损耗采集；提供上述功能的证明材料并加盖厂家投标公章或专用章；</w:t>
                  </w:r>
                  <w:r>
                    <w:br/>
                  </w:r>
                  <w:r>
                    <w:rPr>
                      <w:rFonts w:ascii="仿宋_GB2312" w:hAnsi="仿宋_GB2312" w:cs="仿宋_GB2312" w:eastAsia="仿宋_GB2312"/>
                      <w:sz w:val="24"/>
                      <w:color w:val="000000"/>
                    </w:rPr>
                    <w:t>★5.数字视频接口支持基于RJ45双绞线，可完成对外接摄像机的供电信号、控制信号、数字视频信号的同步传输；提供上述功能的证明材料并加盖厂家投标公章或专用章；</w:t>
                  </w:r>
                  <w:r>
                    <w:br/>
                  </w:r>
                  <w:r>
                    <w:rPr>
                      <w:rFonts w:ascii="仿宋_GB2312" w:hAnsi="仿宋_GB2312" w:cs="仿宋_GB2312" w:eastAsia="仿宋_GB2312"/>
                      <w:sz w:val="24"/>
                      <w:color w:val="000000"/>
                    </w:rPr>
                    <w:t>6. MIC支持音频可在采集数字音频信号的同时对数字麦克风进行供电。</w:t>
                  </w:r>
                  <w:r>
                    <w:br/>
                  </w:r>
                  <w:r>
                    <w:rPr>
                      <w:rFonts w:ascii="仿宋_GB2312" w:hAnsi="仿宋_GB2312" w:cs="仿宋_GB2312" w:eastAsia="仿宋_GB2312"/>
                      <w:sz w:val="24"/>
                      <w:color w:val="000000"/>
                    </w:rPr>
                    <w:t>7.其他接口：USB3.0≥1、网口（RJ45）≥1，1000/100Mbps自适应，支持IPv4、IPv6双协议栈。</w:t>
                  </w:r>
                  <w:r>
                    <w:br/>
                  </w:r>
                  <w:r>
                    <w:rPr>
                      <w:rFonts w:ascii="仿宋_GB2312" w:hAnsi="仿宋_GB2312" w:cs="仿宋_GB2312" w:eastAsia="仿宋_GB2312"/>
                      <w:sz w:val="24"/>
                      <w:color w:val="000000"/>
                    </w:rPr>
                    <w:t>8.协议支持：支持H.264编码协议，支持AAC音频编码协议，支持RTMP、RTSP视频传输协议，支持H.323和SIP视频互动通信协议，视频封装格式MP4；</w:t>
                  </w:r>
                  <w:r>
                    <w:br/>
                  </w:r>
                  <w:r>
                    <w:rPr>
                      <w:rFonts w:ascii="仿宋_GB2312" w:hAnsi="仿宋_GB2312" w:cs="仿宋_GB2312" w:eastAsia="仿宋_GB2312"/>
                      <w:sz w:val="24"/>
                      <w:color w:val="000000"/>
                    </w:rPr>
                    <w:t>9.供电模式：采用安全电压供电。</w:t>
                  </w:r>
                  <w:r>
                    <w:br/>
                  </w:r>
                  <w:r>
                    <w:rPr>
                      <w:rFonts w:ascii="仿宋_GB2312" w:hAnsi="仿宋_GB2312" w:cs="仿宋_GB2312" w:eastAsia="仿宋_GB2312"/>
                      <w:sz w:val="24"/>
                      <w:color w:val="000000"/>
                    </w:rPr>
                    <w:t>二、录制应用</w:t>
                  </w:r>
                  <w:r>
                    <w:br/>
                  </w:r>
                  <w:r>
                    <w:rPr>
                      <w:rFonts w:ascii="仿宋_GB2312" w:hAnsi="仿宋_GB2312" w:cs="仿宋_GB2312" w:eastAsia="仿宋_GB2312"/>
                      <w:sz w:val="24"/>
                      <w:color w:val="000000"/>
                    </w:rPr>
                    <w:t>★1.支持对外接摄像机画面、外接HDMI教学课件画面进行组合画面或单一画面录制；提供上述功能的证明材料并加盖厂家投标公章或专用章；</w:t>
                  </w:r>
                  <w:r>
                    <w:br/>
                  </w:r>
                  <w:r>
                    <w:rPr>
                      <w:rFonts w:ascii="仿宋_GB2312" w:hAnsi="仿宋_GB2312" w:cs="仿宋_GB2312" w:eastAsia="仿宋_GB2312"/>
                      <w:sz w:val="24"/>
                      <w:color w:val="000000"/>
                    </w:rPr>
                    <w:t>2.录制画面分辨率支持1080p@30/25fps、720p@30/25fps，码流512Kbps~40Mbps可设；</w:t>
                  </w:r>
                  <w:r>
                    <w:br/>
                  </w:r>
                  <w:r>
                    <w:rPr>
                      <w:rFonts w:ascii="仿宋_GB2312" w:hAnsi="仿宋_GB2312" w:cs="仿宋_GB2312" w:eastAsia="仿宋_GB2312"/>
                      <w:sz w:val="24"/>
                      <w:color w:val="000000"/>
                    </w:rPr>
                    <w:t>3.支持U盘录制和集中存储录制，支持ftp或http对接存储服务器平台实现分布式录制集中式存储以及视频资源的自动归档；</w:t>
                  </w:r>
                  <w:r>
                    <w:br/>
                  </w:r>
                  <w:r>
                    <w:rPr>
                      <w:rFonts w:ascii="仿宋_GB2312" w:hAnsi="仿宋_GB2312" w:cs="仿宋_GB2312" w:eastAsia="仿宋_GB2312"/>
                      <w:sz w:val="24"/>
                      <w:color w:val="000000"/>
                    </w:rPr>
                    <w:t>4.支持录制、暂停、停止等基本功能操作，可自定义录制的画质，最高支持1080p@30/25fps；</w:t>
                  </w:r>
                  <w:r>
                    <w:br/>
                  </w:r>
                  <w:r>
                    <w:rPr>
                      <w:rFonts w:ascii="仿宋_GB2312" w:hAnsi="仿宋_GB2312" w:cs="仿宋_GB2312" w:eastAsia="仿宋_GB2312"/>
                      <w:sz w:val="24"/>
                      <w:color w:val="000000"/>
                    </w:rPr>
                    <w:t>★5.支持分段录制技术，当录制的课程时间较长时，可按照用户设定的文件时长自动分割录制成多个视频文件，提供不分段、30分钟分段、60分钟分段三种方式可选。提供上述功能的证明材料并加盖厂家投标公章或专用章；</w:t>
                  </w:r>
                  <w:r>
                    <w:br/>
                  </w:r>
                  <w:r>
                    <w:rPr>
                      <w:rFonts w:ascii="仿宋_GB2312" w:hAnsi="仿宋_GB2312" w:cs="仿宋_GB2312" w:eastAsia="仿宋_GB2312"/>
                      <w:sz w:val="24"/>
                      <w:color w:val="000000"/>
                    </w:rPr>
                    <w:t>6.支持对录制视频按主讲人或文件名进行模糊检索，并查看视频的时长、分辨率、帧率、码率、编码标准等录像文件视音频指标。可基于录制时间对录像文件进行顺序或倒序排列，便于快速检索所需视频。支持对录像文件进行回放和下载。</w:t>
                  </w:r>
                  <w:r>
                    <w:br/>
                  </w:r>
                  <w:r>
                    <w:rPr>
                      <w:rFonts w:ascii="仿宋_GB2312" w:hAnsi="仿宋_GB2312" w:cs="仿宋_GB2312" w:eastAsia="仿宋_GB2312"/>
                      <w:sz w:val="24"/>
                      <w:color w:val="000000"/>
                    </w:rPr>
                    <w:t>三、实时直播</w:t>
                  </w:r>
                  <w:r>
                    <w:br/>
                  </w:r>
                  <w:r>
                    <w:rPr>
                      <w:rFonts w:ascii="仿宋_GB2312" w:hAnsi="仿宋_GB2312" w:cs="仿宋_GB2312" w:eastAsia="仿宋_GB2312"/>
                      <w:sz w:val="24"/>
                      <w:color w:val="000000"/>
                    </w:rPr>
                    <w:t>1.支持标准RTMP视频传输协议，实现录制画面或互动画面的推流直播功能。支持主子高低双码流同步推流直播，推流分辨率最高支持1080P@30fps；</w:t>
                  </w:r>
                  <w:r>
                    <w:br/>
                  </w:r>
                  <w:r>
                    <w:rPr>
                      <w:rFonts w:ascii="仿宋_GB2312" w:hAnsi="仿宋_GB2312" w:cs="仿宋_GB2312" w:eastAsia="仿宋_GB2312"/>
                      <w:sz w:val="24"/>
                      <w:color w:val="000000"/>
                    </w:rPr>
                    <w:t>2.支持自定义推流分辨率和码率，码率2Kbps~40Mbps范围可设。</w:t>
                  </w:r>
                  <w:r>
                    <w:br/>
                  </w:r>
                  <w:r>
                    <w:rPr>
                      <w:rFonts w:ascii="仿宋_GB2312" w:hAnsi="仿宋_GB2312" w:cs="仿宋_GB2312" w:eastAsia="仿宋_GB2312"/>
                      <w:sz w:val="24"/>
                      <w:color w:val="000000"/>
                    </w:rPr>
                    <w:t>★3.支持≥3路RTMP同步推流，自定义每路推流信号源，实现多流直播。提供上述功能的证明材料并加盖厂家投标公章或专用章；</w:t>
                  </w:r>
                  <w:r>
                    <w:br/>
                  </w:r>
                  <w:r>
                    <w:rPr>
                      <w:rFonts w:ascii="仿宋_GB2312" w:hAnsi="仿宋_GB2312" w:cs="仿宋_GB2312" w:eastAsia="仿宋_GB2312"/>
                      <w:sz w:val="24"/>
                      <w:color w:val="000000"/>
                    </w:rPr>
                    <w:t>四、视频互动</w:t>
                  </w:r>
                  <w:r>
                    <w:br/>
                  </w:r>
                  <w:r>
                    <w:rPr>
                      <w:rFonts w:ascii="仿宋_GB2312" w:hAnsi="仿宋_GB2312" w:cs="仿宋_GB2312" w:eastAsia="仿宋_GB2312"/>
                      <w:sz w:val="24"/>
                      <w:color w:val="000000"/>
                    </w:rPr>
                    <w:t>★1.通讯录系统：支持查询互动云系统的通讯录数据，可通过通讯录选择互动对象直接呼叫，或手动输入互动账号进行呼叫；提供上述功能的证明材料并加盖厂家投标公章或专用章；</w:t>
                  </w:r>
                  <w:r>
                    <w:br/>
                  </w:r>
                  <w:r>
                    <w:rPr>
                      <w:rFonts w:ascii="仿宋_GB2312" w:hAnsi="仿宋_GB2312" w:cs="仿宋_GB2312" w:eastAsia="仿宋_GB2312"/>
                      <w:sz w:val="24"/>
                      <w:color w:val="000000"/>
                    </w:rPr>
                    <w:t>★2.短号系统：可以通过直接呼叫短号快速创建互动房间；提供上述功能的证明材料并加盖厂家投标公章或专用章；</w:t>
                  </w:r>
                  <w:r>
                    <w:br/>
                  </w:r>
                  <w:r>
                    <w:rPr>
                      <w:rFonts w:ascii="仿宋_GB2312" w:hAnsi="仿宋_GB2312" w:cs="仿宋_GB2312" w:eastAsia="仿宋_GB2312"/>
                      <w:sz w:val="24"/>
                      <w:color w:val="000000"/>
                    </w:rPr>
                    <w:t>★3.分组系统：支持对通讯录自定义添加分组，可对分组内账号进行批量快速呼叫；提供上述功能的证明材料并加盖厂家投标公章或专用章；</w:t>
                  </w:r>
                  <w:r>
                    <w:br/>
                  </w:r>
                  <w:r>
                    <w:rPr>
                      <w:rFonts w:ascii="仿宋_GB2312" w:hAnsi="仿宋_GB2312" w:cs="仿宋_GB2312" w:eastAsia="仿宋_GB2312"/>
                      <w:sz w:val="24"/>
                      <w:color w:val="000000"/>
                    </w:rPr>
                    <w:t>4.呼叫记录：自动保留最近呼叫的历史记录，便于快速查询回拨；</w:t>
                  </w:r>
                  <w:r>
                    <w:br/>
                  </w:r>
                  <w:r>
                    <w:rPr>
                      <w:rFonts w:ascii="仿宋_GB2312" w:hAnsi="仿宋_GB2312" w:cs="仿宋_GB2312" w:eastAsia="仿宋_GB2312"/>
                      <w:sz w:val="24"/>
                      <w:color w:val="000000"/>
                    </w:rPr>
                    <w:t>5.互动画质：录播主机双向互动过程中，在4Mbps带宽下可实现1080p@30fps画质，支持网络自适应功能；</w:t>
                  </w:r>
                  <w:r>
                    <w:br/>
                  </w:r>
                  <w:r>
                    <w:rPr>
                      <w:rFonts w:ascii="仿宋_GB2312" w:hAnsi="仿宋_GB2312" w:cs="仿宋_GB2312" w:eastAsia="仿宋_GB2312"/>
                      <w:sz w:val="24"/>
                      <w:color w:val="000000"/>
                    </w:rPr>
                    <w:t>★6.网络检测：支持网络检测功能，测试设备与互动服务器之间的网络通讯情况，包括上下行丢包率数据、带宽数据；提供上述功能的证明材料并加盖厂家投标公章或专用章；</w:t>
                  </w:r>
                  <w:r>
                    <w:br/>
                  </w:r>
                  <w:r>
                    <w:rPr>
                      <w:rFonts w:ascii="仿宋_GB2312" w:hAnsi="仿宋_GB2312" w:cs="仿宋_GB2312" w:eastAsia="仿宋_GB2312"/>
                      <w:sz w:val="24"/>
                      <w:color w:val="000000"/>
                    </w:rPr>
                    <w:t>7.互动画质支持高清1080p@30fps。</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插座面板开关</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具备</w:t>
                  </w:r>
                  <w:r>
                    <w:rPr>
                      <w:rFonts w:ascii="仿宋_GB2312" w:hAnsi="仿宋_GB2312" w:cs="仿宋_GB2312" w:eastAsia="仿宋_GB2312"/>
                      <w:sz w:val="24"/>
                      <w:color w:val="000000"/>
                    </w:rPr>
                    <w:t>USB 5V供电口与两孔/三孔音箱供电插座。具备供电通断开关。</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线材辅材</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电源线、音频线等其他线材辅材、符合国标。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防撞升降柱</w:t>
                  </w:r>
                </w:p>
              </w:tc>
              <w:tc>
                <w:tcPr>
                  <w:tcW w:type="dxa" w:w="16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组成部分</w:t>
                  </w:r>
                  <w:r>
                    <w:rPr>
                      <w:rFonts w:ascii="仿宋_GB2312" w:hAnsi="仿宋_GB2312" w:cs="仿宋_GB2312" w:eastAsia="仿宋_GB2312"/>
                      <w:sz w:val="24"/>
                      <w:color w:val="000000"/>
                    </w:rPr>
                    <w:t>:控制主板、总开关，充电器、24V电源，电容等</w:t>
                  </w:r>
                  <w:r>
                    <w:br/>
                  </w:r>
                  <w:r>
                    <w:rPr>
                      <w:rFonts w:ascii="仿宋_GB2312" w:hAnsi="仿宋_GB2312" w:cs="仿宋_GB2312" w:eastAsia="仿宋_GB2312"/>
                      <w:sz w:val="24"/>
                      <w:color w:val="000000"/>
                    </w:rPr>
                    <w:t>1、总电源开关:可通过总电源开关对控制箱整体施行通断控制操作。</w:t>
                  </w:r>
                  <w:r>
                    <w:br/>
                  </w:r>
                  <w:r>
                    <w:rPr>
                      <w:rFonts w:ascii="仿宋_GB2312" w:hAnsi="仿宋_GB2312" w:cs="仿宋_GB2312" w:eastAsia="仿宋_GB2312"/>
                      <w:sz w:val="24"/>
                      <w:color w:val="000000"/>
                    </w:rPr>
                    <w:t>2、水泵开关:可通过水泵开关对抽水泵进行有选择性供电操作。</w:t>
                  </w:r>
                  <w:r>
                    <w:br/>
                  </w:r>
                  <w:r>
                    <w:rPr>
                      <w:rFonts w:ascii="仿宋_GB2312" w:hAnsi="仿宋_GB2312" w:cs="仿宋_GB2312" w:eastAsia="仿宋_GB2312"/>
                      <w:sz w:val="24"/>
                      <w:color w:val="000000"/>
                    </w:rPr>
                    <w:t>3、充电器开关:可通过充电器开关对EPS充电器施行通断控制操作</w:t>
                  </w:r>
                  <w:r>
                    <w:br/>
                  </w:r>
                  <w:r>
                    <w:rPr>
                      <w:rFonts w:ascii="仿宋_GB2312" w:hAnsi="仿宋_GB2312" w:cs="仿宋_GB2312" w:eastAsia="仿宋_GB2312"/>
                      <w:sz w:val="24"/>
                      <w:color w:val="000000"/>
                    </w:rPr>
                    <w:t>4、应急电磁阀开关:可通过应急电磁阀开关对应急电磁阀施行通断控制操作(从而在停电时使用应急电磁阀对路桩进行紧急降落功能)</w:t>
                  </w:r>
                  <w:r>
                    <w:br/>
                  </w:r>
                  <w:r>
                    <w:rPr>
                      <w:rFonts w:ascii="仿宋_GB2312" w:hAnsi="仿宋_GB2312" w:cs="仿宋_GB2312" w:eastAsia="仿宋_GB2312"/>
                      <w:sz w:val="24"/>
                      <w:color w:val="000000"/>
                    </w:rPr>
                    <w:t>5、总电源接入端口:按地线、零线、火线顺序接入。</w:t>
                  </w:r>
                  <w:r>
                    <w:br/>
                  </w:r>
                  <w:r>
                    <w:rPr>
                      <w:rFonts w:ascii="仿宋_GB2312" w:hAnsi="仿宋_GB2312" w:cs="仿宋_GB2312" w:eastAsia="仿宋_GB2312"/>
                      <w:sz w:val="24"/>
                      <w:color w:val="000000"/>
                    </w:rPr>
                    <w:t>6、升降柱电源接入端口:每一根升降柱有一个独立的单元模块，</w:t>
                  </w:r>
                  <w:r>
                    <w:br/>
                  </w:r>
                  <w:r>
                    <w:rPr>
                      <w:rFonts w:ascii="仿宋_GB2312" w:hAnsi="仿宋_GB2312" w:cs="仿宋_GB2312" w:eastAsia="仿宋_GB2312"/>
                      <w:sz w:val="24"/>
                      <w:color w:val="000000"/>
                    </w:rPr>
                    <w:t>7、水泵电源接入端口:抽水泵电源接入端口。</w:t>
                  </w:r>
                  <w:r>
                    <w:br/>
                  </w:r>
                  <w:r>
                    <w:rPr>
                      <w:rFonts w:ascii="仿宋_GB2312" w:hAnsi="仿宋_GB2312" w:cs="仿宋_GB2312" w:eastAsia="仿宋_GB2312"/>
                      <w:sz w:val="24"/>
                      <w:color w:val="000000"/>
                    </w:rPr>
                    <w:t>外简材质</w:t>
                  </w:r>
                  <w:r>
                    <w:rPr>
                      <w:rFonts w:ascii="仿宋_GB2312" w:hAnsi="仿宋_GB2312" w:cs="仿宋_GB2312" w:eastAsia="仿宋_GB2312"/>
                      <w:sz w:val="24"/>
                      <w:color w:val="000000"/>
                    </w:rPr>
                    <w:t>Q235碳钢</w:t>
                  </w:r>
                  <w:r>
                    <w:br/>
                  </w:r>
                  <w:r>
                    <w:rPr>
                      <w:rFonts w:ascii="仿宋_GB2312" w:hAnsi="仿宋_GB2312" w:cs="仿宋_GB2312" w:eastAsia="仿宋_GB2312"/>
                      <w:sz w:val="24"/>
                      <w:color w:val="000000"/>
                    </w:rPr>
                    <w:t>盖板材质</w:t>
                  </w:r>
                  <w:r>
                    <w:rPr>
                      <w:rFonts w:ascii="仿宋_GB2312" w:hAnsi="仿宋_GB2312" w:cs="仿宋_GB2312" w:eastAsia="仿宋_GB2312"/>
                      <w:sz w:val="24"/>
                      <w:color w:val="000000"/>
                    </w:rPr>
                    <w:t>SUS304不锈钢</w:t>
                  </w:r>
                  <w:r>
                    <w:br/>
                  </w:r>
                  <w:r>
                    <w:rPr>
                      <w:rFonts w:ascii="仿宋_GB2312" w:hAnsi="仿宋_GB2312" w:cs="仿宋_GB2312" w:eastAsia="仿宋_GB2312"/>
                      <w:sz w:val="24"/>
                      <w:color w:val="000000"/>
                    </w:rPr>
                    <w:t>柱体直径</w:t>
                  </w:r>
                  <w:r>
                    <w:rPr>
                      <w:rFonts w:ascii="仿宋_GB2312" w:hAnsi="仿宋_GB2312" w:cs="仿宋_GB2312" w:eastAsia="仿宋_GB2312"/>
                      <w:sz w:val="24"/>
                      <w:color w:val="000000"/>
                    </w:rPr>
                    <w:t>≥210mm</w:t>
                  </w:r>
                  <w:r>
                    <w:br/>
                  </w:r>
                  <w:r>
                    <w:rPr>
                      <w:rFonts w:ascii="仿宋_GB2312" w:hAnsi="仿宋_GB2312" w:cs="仿宋_GB2312" w:eastAsia="仿宋_GB2312"/>
                      <w:sz w:val="24"/>
                      <w:color w:val="000000"/>
                    </w:rPr>
                    <w:t>柱体高度</w:t>
                  </w:r>
                  <w:r>
                    <w:rPr>
                      <w:rFonts w:ascii="仿宋_GB2312" w:hAnsi="仿宋_GB2312" w:cs="仿宋_GB2312" w:eastAsia="仿宋_GB2312"/>
                      <w:sz w:val="24"/>
                      <w:color w:val="000000"/>
                    </w:rPr>
                    <w:t>≥600mm</w:t>
                  </w:r>
                  <w:r>
                    <w:br/>
                  </w:r>
                  <w:r>
                    <w:rPr>
                      <w:rFonts w:ascii="仿宋_GB2312" w:hAnsi="仿宋_GB2312" w:cs="仿宋_GB2312" w:eastAsia="仿宋_GB2312"/>
                      <w:sz w:val="24"/>
                      <w:color w:val="000000"/>
                    </w:rPr>
                    <w:t>柱体厚度</w:t>
                  </w:r>
                  <w:r>
                    <w:rPr>
                      <w:rFonts w:ascii="仿宋_GB2312" w:hAnsi="仿宋_GB2312" w:cs="仿宋_GB2312" w:eastAsia="仿宋_GB2312"/>
                      <w:sz w:val="24"/>
                      <w:color w:val="000000"/>
                    </w:rPr>
                    <w:t>≥6mm</w:t>
                  </w:r>
                  <w:r>
                    <w:br/>
                  </w:r>
                  <w:r>
                    <w:rPr>
                      <w:rFonts w:ascii="仿宋_GB2312" w:hAnsi="仿宋_GB2312" w:cs="仿宋_GB2312" w:eastAsia="仿宋_GB2312"/>
                      <w:sz w:val="24"/>
                      <w:color w:val="000000"/>
                    </w:rPr>
                    <w:t>进线直径</w:t>
                  </w:r>
                  <w:r>
                    <w:rPr>
                      <w:rFonts w:ascii="仿宋_GB2312" w:hAnsi="仿宋_GB2312" w:cs="仿宋_GB2312" w:eastAsia="仿宋_GB2312"/>
                      <w:sz w:val="24"/>
                      <w:color w:val="000000"/>
                    </w:rPr>
                    <w:t>50mm</w:t>
                  </w:r>
                  <w:r>
                    <w:br/>
                  </w:r>
                  <w:r>
                    <w:rPr>
                      <w:rFonts w:ascii="仿宋_GB2312" w:hAnsi="仿宋_GB2312" w:cs="仿宋_GB2312" w:eastAsia="仿宋_GB2312"/>
                      <w:sz w:val="24"/>
                      <w:color w:val="000000"/>
                    </w:rPr>
                    <w:t>预埋直径</w:t>
                  </w:r>
                  <w:r>
                    <w:rPr>
                      <w:rFonts w:ascii="仿宋_GB2312" w:hAnsi="仿宋_GB2312" w:cs="仿宋_GB2312" w:eastAsia="仿宋_GB2312"/>
                      <w:sz w:val="24"/>
                      <w:color w:val="000000"/>
                    </w:rPr>
                    <w:t>与柱体相匹配</w:t>
                  </w:r>
                  <w:r>
                    <w:br/>
                  </w:r>
                  <w:r>
                    <w:rPr>
                      <w:rFonts w:ascii="仿宋_GB2312" w:hAnsi="仿宋_GB2312" w:cs="仿宋_GB2312" w:eastAsia="仿宋_GB2312"/>
                      <w:sz w:val="24"/>
                      <w:color w:val="000000"/>
                    </w:rPr>
                    <w:t>预埋高度</w:t>
                  </w:r>
                  <w:r>
                    <w:rPr>
                      <w:rFonts w:ascii="仿宋_GB2312" w:hAnsi="仿宋_GB2312" w:cs="仿宋_GB2312" w:eastAsia="仿宋_GB2312"/>
                      <w:sz w:val="24"/>
                      <w:color w:val="000000"/>
                    </w:rPr>
                    <w:t>≥830mm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标的名称：护眼灯、标牌。办公桌、讲桌等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1"/>
              <w:gridCol w:w="247"/>
              <w:gridCol w:w="1562"/>
              <w:gridCol w:w="262"/>
              <w:gridCol w:w="201"/>
            </w:tblGrid>
            <w:tr>
              <w:tc>
                <w:tcPr>
                  <w:tcW w:type="dxa" w:w="18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56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6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20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参数规格</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护眼灯</w:t>
                  </w:r>
                  <w:r>
                    <w:rPr>
                      <w:rFonts w:ascii="仿宋_GB2312" w:hAnsi="仿宋_GB2312" w:cs="仿宋_GB2312" w:eastAsia="仿宋_GB2312"/>
                      <w:sz w:val="24"/>
                      <w:color w:val="000000"/>
                    </w:rPr>
                    <w:t>（</w:t>
                  </w:r>
                  <w:r>
                    <w:rPr>
                      <w:rFonts w:ascii="仿宋_GB2312" w:hAnsi="仿宋_GB2312" w:cs="仿宋_GB2312" w:eastAsia="仿宋_GB2312"/>
                      <w:sz w:val="24"/>
                      <w:color w:val="000000"/>
                    </w:rPr>
                    <w:t>核心产品</w:t>
                  </w:r>
                  <w:r>
                    <w:rPr>
                      <w:rFonts w:ascii="仿宋_GB2312" w:hAnsi="仿宋_GB2312" w:cs="仿宋_GB2312" w:eastAsia="仿宋_GB2312"/>
                      <w:sz w:val="24"/>
                      <w:color w:val="000000"/>
                    </w:rPr>
                    <w:t>）</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照度：在标准</w:t>
                  </w:r>
                  <w:r>
                    <w:rPr>
                      <w:rFonts w:ascii="仿宋_GB2312" w:hAnsi="仿宋_GB2312" w:cs="仿宋_GB2312" w:eastAsia="仿宋_GB2312"/>
                      <w:sz w:val="24"/>
                      <w:color w:val="000000"/>
                    </w:rPr>
                    <w:t>2米距离≥3000lux。</w:t>
                  </w:r>
                </w:p>
                <w:p>
                  <w:pPr>
                    <w:pStyle w:val="null3"/>
                    <w:numPr>
                      <w:ilvl w:val="0"/>
                      <w:numId w:val="1"/>
                    </w:numPr>
                    <w:jc w:val="left"/>
                  </w:pPr>
                  <w:r>
                    <w:rPr>
                      <w:rFonts w:ascii="仿宋_GB2312" w:hAnsi="仿宋_GB2312" w:cs="仿宋_GB2312" w:eastAsia="仿宋_GB2312"/>
                      <w:sz w:val="24"/>
                      <w:color w:val="000000"/>
                    </w:rPr>
                    <w:t>LED教室灯额定功率≤50W。</w:t>
                  </w:r>
                </w:p>
                <w:p>
                  <w:pPr>
                    <w:pStyle w:val="null3"/>
                    <w:numPr>
                      <w:ilvl w:val="0"/>
                      <w:numId w:val="1"/>
                    </w:numPr>
                    <w:jc w:val="left"/>
                  </w:pPr>
                  <w:r>
                    <w:rPr>
                      <w:rFonts w:ascii="仿宋_GB2312" w:hAnsi="仿宋_GB2312" w:cs="仿宋_GB2312" w:eastAsia="仿宋_GB2312"/>
                      <w:sz w:val="24"/>
                      <w:color w:val="000000"/>
                    </w:rPr>
                    <w:t>LED教室灯长度≥1200mm；为一体式格栅防眩灯具，灯具外形应平整、无凹陷和毛刺，焊缝无透光现象，表面均匀、光洁，无流挂现象。</w:t>
                  </w:r>
                </w:p>
                <w:p>
                  <w:pPr>
                    <w:pStyle w:val="null3"/>
                    <w:numPr>
                      <w:ilvl w:val="0"/>
                      <w:numId w:val="1"/>
                    </w:numPr>
                    <w:jc w:val="left"/>
                  </w:pPr>
                  <w:r>
                    <w:rPr>
                      <w:rFonts w:ascii="仿宋_GB2312" w:hAnsi="仿宋_GB2312" w:cs="仿宋_GB2312" w:eastAsia="仿宋_GB2312"/>
                      <w:sz w:val="24"/>
                      <w:color w:val="000000"/>
                    </w:rPr>
                    <w:t>LED教室灯色温（或相关色温）3300-5300K。</w:t>
                  </w:r>
                </w:p>
                <w:p>
                  <w:pPr>
                    <w:pStyle w:val="null3"/>
                    <w:numPr>
                      <w:ilvl w:val="0"/>
                      <w:numId w:val="1"/>
                    </w:numPr>
                    <w:jc w:val="left"/>
                  </w:pPr>
                  <w:r>
                    <w:rPr>
                      <w:rFonts w:ascii="仿宋_GB2312" w:hAnsi="仿宋_GB2312" w:cs="仿宋_GB2312" w:eastAsia="仿宋_GB2312"/>
                      <w:sz w:val="24"/>
                      <w:color w:val="000000"/>
                    </w:rPr>
                    <w:t>LED教室灯显色指数Ra≥90、R9≥50。</w:t>
                  </w:r>
                </w:p>
                <w:p>
                  <w:pPr>
                    <w:pStyle w:val="null3"/>
                    <w:numPr>
                      <w:ilvl w:val="0"/>
                      <w:numId w:val="1"/>
                    </w:numPr>
                    <w:jc w:val="left"/>
                  </w:pPr>
                  <w:r>
                    <w:rPr>
                      <w:rFonts w:ascii="仿宋_GB2312" w:hAnsi="仿宋_GB2312" w:cs="仿宋_GB2312" w:eastAsia="仿宋_GB2312"/>
                      <w:sz w:val="24"/>
                      <w:color w:val="000000"/>
                    </w:rPr>
                    <w:t>LED教室灯色容差≤5 SDCM。</w:t>
                  </w:r>
                </w:p>
                <w:p>
                  <w:pPr>
                    <w:pStyle w:val="null3"/>
                    <w:numPr>
                      <w:ilvl w:val="0"/>
                      <w:numId w:val="1"/>
                    </w:numPr>
                    <w:jc w:val="left"/>
                  </w:pPr>
                  <w:r>
                    <w:rPr>
                      <w:rFonts w:ascii="仿宋_GB2312" w:hAnsi="仿宋_GB2312" w:cs="仿宋_GB2312" w:eastAsia="仿宋_GB2312"/>
                      <w:sz w:val="24"/>
                      <w:color w:val="000000"/>
                    </w:rPr>
                    <w:t>LED教室灯频闪无危害或无频闪危害或无显著影响或P或合格。</w:t>
                  </w:r>
                </w:p>
                <w:p>
                  <w:pPr>
                    <w:pStyle w:val="null3"/>
                    <w:numPr>
                      <w:ilvl w:val="0"/>
                      <w:numId w:val="1"/>
                    </w:numPr>
                    <w:jc w:val="left"/>
                  </w:pPr>
                  <w:r>
                    <w:rPr>
                      <w:rFonts w:ascii="仿宋_GB2312" w:hAnsi="仿宋_GB2312" w:cs="仿宋_GB2312" w:eastAsia="仿宋_GB2312"/>
                      <w:sz w:val="24"/>
                      <w:color w:val="000000"/>
                    </w:rPr>
                    <w:t>LED教室灯蓝光危害等级为RG0（或0类危险）。</w:t>
                  </w:r>
                </w:p>
                <w:p>
                  <w:pPr>
                    <w:pStyle w:val="null3"/>
                    <w:numPr>
                      <w:ilvl w:val="0"/>
                      <w:numId w:val="1"/>
                    </w:numPr>
                    <w:jc w:val="left"/>
                  </w:pPr>
                  <w:r>
                    <w:rPr>
                      <w:rFonts w:ascii="仿宋_GB2312" w:hAnsi="仿宋_GB2312" w:cs="仿宋_GB2312" w:eastAsia="仿宋_GB2312"/>
                      <w:sz w:val="24"/>
                      <w:color w:val="000000"/>
                    </w:rPr>
                    <w:t>LED教室灯至少依据《GB 7000.1》、《GB/T31897.1》标准满足透光罩无黄变。</w:t>
                  </w:r>
                </w:p>
                <w:p>
                  <w:pPr>
                    <w:pStyle w:val="null3"/>
                    <w:numPr>
                      <w:ilvl w:val="0"/>
                      <w:numId w:val="1"/>
                    </w:numPr>
                    <w:jc w:val="left"/>
                  </w:pPr>
                  <w:r>
                    <w:rPr>
                      <w:rFonts w:ascii="仿宋_GB2312" w:hAnsi="仿宋_GB2312" w:cs="仿宋_GB2312" w:eastAsia="仿宋_GB2312"/>
                      <w:sz w:val="24"/>
                      <w:color w:val="000000"/>
                    </w:rPr>
                    <w:t>LED教室灯至少依据《GB 7000.1》、《GB 7000.201》及《GB/T31897.201》标准通过结构安全认证。</w:t>
                  </w:r>
                </w:p>
                <w:p>
                  <w:pPr>
                    <w:pStyle w:val="null3"/>
                    <w:numPr>
                      <w:ilvl w:val="0"/>
                      <w:numId w:val="1"/>
                    </w:numPr>
                    <w:jc w:val="left"/>
                  </w:pPr>
                  <w:r>
                    <w:rPr>
                      <w:rFonts w:ascii="仿宋_GB2312" w:hAnsi="仿宋_GB2312" w:cs="仿宋_GB2312" w:eastAsia="仿宋_GB2312"/>
                      <w:sz w:val="24"/>
                      <w:color w:val="000000"/>
                    </w:rPr>
                    <w:t>LED教室灯在大气压力≥80kPa，平均湿度≥30%RH及极值空气温度≥35℃的实地环境条件下至少持续运行100小时，至少依据《GB 7000.1》、《GB 7000.201》、《GB/T5700》、《GB/T31897.1》及《GB/T9468》标准通过可靠认证。</w:t>
                  </w:r>
                </w:p>
                <w:p>
                  <w:pPr>
                    <w:pStyle w:val="null3"/>
                    <w:numPr>
                      <w:ilvl w:val="0"/>
                      <w:numId w:val="1"/>
                    </w:numPr>
                    <w:jc w:val="left"/>
                  </w:pPr>
                  <w:r>
                    <w:rPr>
                      <w:rFonts w:ascii="仿宋_GB2312" w:hAnsi="仿宋_GB2312" w:cs="仿宋_GB2312" w:eastAsia="仿宋_GB2312"/>
                      <w:sz w:val="24"/>
                      <w:color w:val="000000"/>
                    </w:rPr>
                    <w:t>LED教室灯至少依据《GB 7000.1》、《GB 7000.201》、《GB/T5700》、《GB/T31897.1》及《GB/T9468》标准满足色彩保真度Rf≥95。</w:t>
                  </w:r>
                </w:p>
                <w:p>
                  <w:pPr>
                    <w:pStyle w:val="null3"/>
                    <w:numPr>
                      <w:ilvl w:val="0"/>
                      <w:numId w:val="1"/>
                    </w:numPr>
                    <w:jc w:val="left"/>
                  </w:pPr>
                  <w:r>
                    <w:rPr>
                      <w:rFonts w:ascii="仿宋_GB2312" w:hAnsi="仿宋_GB2312" w:cs="仿宋_GB2312" w:eastAsia="仿宋_GB2312"/>
                      <w:sz w:val="24"/>
                      <w:color w:val="000000"/>
                    </w:rPr>
                    <w:t>LED教室灯至少依据《GB 7000.1》、《GB 7000.201》、《GB/T5700》、《GB/T31897.1》及《GB/T9468》标准满足光谱透射比≥95%。</w:t>
                  </w:r>
                </w:p>
                <w:p>
                  <w:pPr>
                    <w:pStyle w:val="null3"/>
                    <w:numPr>
                      <w:ilvl w:val="0"/>
                      <w:numId w:val="1"/>
                    </w:numPr>
                    <w:jc w:val="left"/>
                  </w:pPr>
                  <w:r>
                    <w:rPr>
                      <w:rFonts w:ascii="仿宋_GB2312" w:hAnsi="仿宋_GB2312" w:cs="仿宋_GB2312" w:eastAsia="仿宋_GB2312"/>
                      <w:sz w:val="24"/>
                      <w:color w:val="000000"/>
                    </w:rPr>
                    <w:t>LED教室灯至少依据《GB 7000.1》、《GB 7000.201》、《GB/T5700》、《GB/T31897.1》及《GB/T9468》标准满足噪声≤18 dB（A）。</w:t>
                  </w:r>
                  <w:r>
                    <w:br/>
                  </w:r>
                  <w:r>
                    <w:rPr>
                      <w:rFonts w:ascii="仿宋_GB2312" w:hAnsi="仿宋_GB2312" w:cs="仿宋_GB2312" w:eastAsia="仿宋_GB2312"/>
                      <w:sz w:val="24"/>
                      <w:color w:val="000000"/>
                    </w:rPr>
                    <w:t>★备注：序号8-序号13须提供第三方认证机构出具的认证证书及全国认证认可信息公共服务平台证书状态为“有效”查询证明复印件（证书与查询证明文件上均须同时体现产品型号及认证标准）。</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壁挂展台</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金属外壳，无锐角无利边设计。</w:t>
                  </w:r>
                  <w:r>
                    <w:br/>
                  </w:r>
                  <w:r>
                    <w:rPr>
                      <w:rFonts w:ascii="仿宋_GB2312" w:hAnsi="仿宋_GB2312" w:cs="仿宋_GB2312" w:eastAsia="仿宋_GB2312"/>
                      <w:sz w:val="24"/>
                      <w:color w:val="000000"/>
                    </w:rPr>
                    <w:t>壁挂式安装。</w:t>
                  </w:r>
                  <w:r>
                    <w:br/>
                  </w:r>
                  <w:r>
                    <w:rPr>
                      <w:rFonts w:ascii="仿宋_GB2312" w:hAnsi="仿宋_GB2312" w:cs="仿宋_GB2312" w:eastAsia="仿宋_GB2312"/>
                      <w:sz w:val="24"/>
                      <w:color w:val="000000"/>
                    </w:rPr>
                    <w:t>采用三折叠开合式托板，展开后托板尺寸</w:t>
                  </w:r>
                  <w:r>
                    <w:rPr>
                      <w:rFonts w:ascii="仿宋_GB2312" w:hAnsi="仿宋_GB2312" w:cs="仿宋_GB2312" w:eastAsia="仿宋_GB2312"/>
                      <w:sz w:val="24"/>
                      <w:color w:val="000000"/>
                    </w:rPr>
                    <w:t>A4面积。</w:t>
                  </w:r>
                  <w:r>
                    <w:br/>
                  </w:r>
                  <w:r>
                    <w:rPr>
                      <w:rFonts w:ascii="仿宋_GB2312" w:hAnsi="仿宋_GB2312" w:cs="仿宋_GB2312" w:eastAsia="仿宋_GB2312"/>
                      <w:sz w:val="24"/>
                      <w:color w:val="000000"/>
                    </w:rPr>
                    <w:t>USB3.0接口，单根USB线供电、高清数据传输。</w:t>
                  </w:r>
                  <w:r>
                    <w:br/>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≥1000W像素自动对焦摄像头，可拍摄A4画幅。</w:t>
                  </w:r>
                  <w:r>
                    <w:br/>
                  </w:r>
                  <w:r>
                    <w:rPr>
                      <w:rFonts w:ascii="仿宋_GB2312" w:hAnsi="仿宋_GB2312" w:cs="仿宋_GB2312" w:eastAsia="仿宋_GB2312"/>
                      <w:sz w:val="24"/>
                      <w:color w:val="000000"/>
                    </w:rPr>
                    <w:t>解析度：中间</w:t>
                  </w:r>
                  <w:r>
                    <w:rPr>
                      <w:rFonts w:ascii="仿宋_GB2312" w:hAnsi="仿宋_GB2312" w:cs="仿宋_GB2312" w:eastAsia="仿宋_GB2312"/>
                      <w:sz w:val="24"/>
                      <w:color w:val="000000"/>
                    </w:rPr>
                    <w:t>1600线，四周1400线。</w:t>
                  </w:r>
                  <w:r>
                    <w:br/>
                  </w:r>
                  <w:r>
                    <w:rPr>
                      <w:rFonts w:ascii="仿宋_GB2312" w:hAnsi="仿宋_GB2312" w:cs="仿宋_GB2312" w:eastAsia="仿宋_GB2312"/>
                      <w:sz w:val="24"/>
                      <w:color w:val="000000"/>
                    </w:rPr>
                    <w:t>展台按键采用触摸按键，可实现一键启动展台画面、画面放大、画面缩小、画面旋转、拍照截图等功能，同时也支持在一体机或电脑上进行同样的操作。</w:t>
                  </w:r>
                  <w:r>
                    <w:br/>
                  </w:r>
                  <w:r>
                    <w:rPr>
                      <w:rFonts w:ascii="仿宋_GB2312" w:hAnsi="仿宋_GB2312" w:cs="仿宋_GB2312" w:eastAsia="仿宋_GB2312"/>
                      <w:sz w:val="24"/>
                      <w:color w:val="000000"/>
                    </w:rPr>
                    <w:t>自带均光罩</w:t>
                  </w:r>
                  <w:r>
                    <w:rPr>
                      <w:rFonts w:ascii="仿宋_GB2312" w:hAnsi="仿宋_GB2312" w:cs="仿宋_GB2312" w:eastAsia="仿宋_GB2312"/>
                      <w:sz w:val="24"/>
                      <w:color w:val="000000"/>
                    </w:rPr>
                    <w:t>LED补光灯，光线不足时可进行亮度补充，亮度均匀。</w:t>
                  </w:r>
                  <w:r>
                    <w:br/>
                  </w:r>
                  <w:r>
                    <w:rPr>
                      <w:rFonts w:ascii="仿宋_GB2312" w:hAnsi="仿宋_GB2312" w:cs="仿宋_GB2312" w:eastAsia="仿宋_GB2312"/>
                      <w:sz w:val="24"/>
                      <w:color w:val="000000"/>
                    </w:rPr>
                    <w:t>软件参数：</w:t>
                  </w:r>
                  <w:r>
                    <w:br/>
                  </w:r>
                  <w:r>
                    <w:rPr>
                      <w:rFonts w:ascii="仿宋_GB2312" w:hAnsi="仿宋_GB2312" w:cs="仿宋_GB2312" w:eastAsia="仿宋_GB2312"/>
                      <w:sz w:val="24"/>
                      <w:color w:val="000000"/>
                    </w:rPr>
                    <w:t>支持对展台实时画面进行放大、缩小、旋转、自适应、冻结画面等操作。</w:t>
                  </w:r>
                  <w:r>
                    <w:br/>
                  </w:r>
                  <w:r>
                    <w:rPr>
                      <w:rFonts w:ascii="仿宋_GB2312" w:hAnsi="仿宋_GB2312" w:cs="仿宋_GB2312" w:eastAsia="仿宋_GB2312"/>
                      <w:sz w:val="24"/>
                      <w:color w:val="000000"/>
                    </w:rPr>
                    <w:t>支持展台画面实时批注，预设多种笔划粗细及颜色供选择，且支持对展台画面联同批注内容进行同步缩放、移动。</w:t>
                  </w:r>
                  <w:r>
                    <w:br/>
                  </w:r>
                  <w:r>
                    <w:rPr>
                      <w:rFonts w:ascii="仿宋_GB2312" w:hAnsi="仿宋_GB2312" w:cs="仿宋_GB2312" w:eastAsia="仿宋_GB2312"/>
                      <w:sz w:val="24"/>
                      <w:color w:val="000000"/>
                    </w:rPr>
                    <w:t>支持展台画面拍照截图并进行多图预览，可对任一图片进行全屏显示。</w:t>
                  </w:r>
                  <w:r>
                    <w:br/>
                  </w:r>
                  <w:r>
                    <w:rPr>
                      <w:rFonts w:ascii="仿宋_GB2312" w:hAnsi="仿宋_GB2312" w:cs="仿宋_GB2312" w:eastAsia="仿宋_GB2312"/>
                      <w:sz w:val="24"/>
                      <w:color w:val="000000"/>
                    </w:rPr>
                    <w:t>老师可在一体机或电脑上选择延时拍照功能，支持</w:t>
                  </w:r>
                  <w:r>
                    <w:rPr>
                      <w:rFonts w:ascii="仿宋_GB2312" w:hAnsi="仿宋_GB2312" w:cs="仿宋_GB2312" w:eastAsia="仿宋_GB2312"/>
                      <w:sz w:val="24"/>
                      <w:color w:val="000000"/>
                    </w:rPr>
                    <w:t>5秒或10秒延时模式，预留充足时间以便调整拍摄内容。</w:t>
                  </w:r>
                  <w:r>
                    <w:br/>
                  </w:r>
                  <w:r>
                    <w:rPr>
                      <w:rFonts w:ascii="仿宋_GB2312" w:hAnsi="仿宋_GB2312" w:cs="仿宋_GB2312" w:eastAsia="仿宋_GB2312"/>
                      <w:sz w:val="24"/>
                      <w:color w:val="000000"/>
                    </w:rPr>
                    <w:t>可选择图像、文本或动态三种情景模式，适应不同展示内容。</w:t>
                  </w:r>
                  <w:r>
                    <w:br/>
                  </w:r>
                  <w:r>
                    <w:rPr>
                      <w:rFonts w:ascii="仿宋_GB2312" w:hAnsi="仿宋_GB2312" w:cs="仿宋_GB2312" w:eastAsia="仿宋_GB2312"/>
                      <w:sz w:val="24"/>
                      <w:color w:val="000000"/>
                    </w:rPr>
                    <w:t>具备图像增强功能，可自动裁剪背景并增强文字显示，使文档画面更清晰。</w:t>
                  </w:r>
                  <w:r>
                    <w:br/>
                  </w:r>
                  <w:r>
                    <w:rPr>
                      <w:rFonts w:ascii="仿宋_GB2312" w:hAnsi="仿宋_GB2312" w:cs="仿宋_GB2312" w:eastAsia="仿宋_GB2312"/>
                      <w:sz w:val="24"/>
                      <w:color w:val="000000"/>
                    </w:rPr>
                    <w:t>支持故障自动检测。</w:t>
                  </w:r>
                  <w:r>
                    <w:br/>
                  </w:r>
                  <w:r>
                    <w:rPr>
                      <w:rFonts w:ascii="仿宋_GB2312" w:hAnsi="仿宋_GB2312" w:cs="仿宋_GB2312" w:eastAsia="仿宋_GB2312"/>
                      <w:sz w:val="24"/>
                      <w:color w:val="000000"/>
                    </w:rPr>
                    <w:t>支持二维码扫码功能：打开扫一扫功能后，将书本上的二维码放入扫描框内即可自动扫描，并进入系统浏览器获取二维码的链接内容。</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标识标牌</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教室前标语：</w:t>
                  </w:r>
                  <w:r>
                    <w:rPr>
                      <w:rFonts w:ascii="仿宋_GB2312" w:hAnsi="仿宋_GB2312" w:cs="仿宋_GB2312" w:eastAsia="仿宋_GB2312"/>
                      <w:sz w:val="24"/>
                      <w:color w:val="000000"/>
                    </w:rPr>
                    <w:t>“好好学习，天天向上”八个字，国旗一面，红色。结皮板雕刻。4000*650*10mm，安装7个教室。</w:t>
                  </w:r>
                </w:p>
              </w:tc>
              <w:tc>
                <w:tcPr>
                  <w:tcW w:type="dxa" w:w="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81"/>
                  <w:vMerge/>
                  <w:tcBorders>
                    <w:top w:val="none" w:color="000000" w:sz="4"/>
                    <w:left w:val="single" w:color="000000" w:sz="4"/>
                    <w:bottom w:val="single" w:color="000000" w:sz="4"/>
                    <w:right w:val="single" w:color="000000" w:sz="4"/>
                  </w:tcBorders>
                </w:tcPr>
                <w:p/>
              </w:tc>
              <w:tc>
                <w:tcPr>
                  <w:tcW w:type="dxa" w:w="247"/>
                  <w:vMerge/>
                  <w:tcBorders>
                    <w:top w:val="none" w:color="000000" w:sz="4"/>
                    <w:left w:val="none" w:color="000000" w:sz="4"/>
                    <w:bottom w:val="single" w:color="000000" w:sz="4"/>
                    <w:right w:val="single" w:color="000000" w:sz="4"/>
                  </w:tcBorders>
                </w:tcP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教室侧墙：核心价值观，中小学生守则。</w:t>
                  </w:r>
                  <w:r>
                    <w:rPr>
                      <w:rFonts w:ascii="仿宋_GB2312" w:hAnsi="仿宋_GB2312" w:cs="仿宋_GB2312" w:eastAsia="仿宋_GB2312"/>
                      <w:sz w:val="24"/>
                      <w:color w:val="000000"/>
                    </w:rPr>
                    <w:t>PVC板雕刻UV印刷加边框。600*900*5mm，安装7个教室。</w:t>
                  </w:r>
                </w:p>
              </w:tc>
              <w:tc>
                <w:tcPr>
                  <w:tcW w:type="dxa" w:w="262"/>
                  <w:vMerge/>
                  <w:tcBorders>
                    <w:top w:val="none" w:color="000000" w:sz="4"/>
                    <w:left w:val="none" w:color="000000" w:sz="4"/>
                    <w:bottom w:val="single" w:color="000000" w:sz="4"/>
                    <w:right w:val="single" w:color="000000" w:sz="4"/>
                  </w:tcBorders>
                </w:tcPr>
                <w:p/>
              </w:tc>
              <w:tc>
                <w:tcPr>
                  <w:tcW w:type="dxa" w:w="201"/>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247"/>
                  <w:vMerge/>
                  <w:tcBorders>
                    <w:top w:val="none" w:color="000000" w:sz="4"/>
                    <w:left w:val="none" w:color="000000" w:sz="4"/>
                    <w:bottom w:val="single" w:color="000000" w:sz="4"/>
                    <w:right w:val="single" w:color="000000" w:sz="4"/>
                  </w:tcBorders>
                </w:tcP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教室后墙：红星评比栏，荣誉展示。结皮板雕刻</w:t>
                  </w:r>
                  <w:r>
                    <w:rPr>
                      <w:rFonts w:ascii="仿宋_GB2312" w:hAnsi="仿宋_GB2312" w:cs="仿宋_GB2312" w:eastAsia="仿宋_GB2312"/>
                      <w:sz w:val="24"/>
                      <w:color w:val="000000"/>
                    </w:rPr>
                    <w:t>UV印刷。800*1100*10mm，安装7个教室。</w:t>
                  </w:r>
                </w:p>
              </w:tc>
              <w:tc>
                <w:tcPr>
                  <w:tcW w:type="dxa" w:w="262"/>
                  <w:vMerge/>
                  <w:tcBorders>
                    <w:top w:val="none" w:color="000000" w:sz="4"/>
                    <w:left w:val="none" w:color="000000" w:sz="4"/>
                    <w:bottom w:val="single" w:color="000000" w:sz="4"/>
                    <w:right w:val="single" w:color="000000" w:sz="4"/>
                  </w:tcBorders>
                </w:tcPr>
                <w:p/>
              </w:tc>
              <w:tc>
                <w:tcPr>
                  <w:tcW w:type="dxa" w:w="201"/>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247"/>
                  <w:vMerge/>
                  <w:tcBorders>
                    <w:top w:val="none" w:color="000000" w:sz="4"/>
                    <w:left w:val="none" w:color="000000" w:sz="4"/>
                    <w:bottom w:val="single" w:color="000000" w:sz="4"/>
                    <w:right w:val="single" w:color="000000" w:sz="4"/>
                  </w:tcBorders>
                </w:tcP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教室前三表栏：结皮板雕刻</w:t>
                  </w:r>
                  <w:r>
                    <w:rPr>
                      <w:rFonts w:ascii="仿宋_GB2312" w:hAnsi="仿宋_GB2312" w:cs="仿宋_GB2312" w:eastAsia="仿宋_GB2312"/>
                      <w:sz w:val="24"/>
                      <w:color w:val="000000"/>
                    </w:rPr>
                    <w:t>UV印刷，贴A4亚克力插盒。720*500*10mm，安装7个教室。</w:t>
                  </w:r>
                </w:p>
              </w:tc>
              <w:tc>
                <w:tcPr>
                  <w:tcW w:type="dxa" w:w="262"/>
                  <w:vMerge/>
                  <w:tcBorders>
                    <w:top w:val="none" w:color="000000" w:sz="4"/>
                    <w:left w:val="none" w:color="000000" w:sz="4"/>
                    <w:bottom w:val="single" w:color="000000" w:sz="4"/>
                    <w:right w:val="single" w:color="000000" w:sz="4"/>
                  </w:tcBorders>
                </w:tcPr>
                <w:p/>
              </w:tc>
              <w:tc>
                <w:tcPr>
                  <w:tcW w:type="dxa" w:w="201"/>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247"/>
                  <w:vMerge/>
                  <w:tcBorders>
                    <w:top w:val="none" w:color="000000" w:sz="4"/>
                    <w:left w:val="none" w:color="000000" w:sz="4"/>
                    <w:bottom w:val="single" w:color="000000" w:sz="4"/>
                    <w:right w:val="single" w:color="000000" w:sz="4"/>
                  </w:tcBorders>
                </w:tcP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教室外墙：作业展示板，结皮板雕刻</w:t>
                  </w:r>
                  <w:r>
                    <w:rPr>
                      <w:rFonts w:ascii="仿宋_GB2312" w:hAnsi="仿宋_GB2312" w:cs="仿宋_GB2312" w:eastAsia="仿宋_GB2312"/>
                      <w:sz w:val="24"/>
                      <w:color w:val="000000"/>
                    </w:rPr>
                    <w:t>UV印刷。1100*240*5mm，安装7个教室。</w:t>
                  </w:r>
                </w:p>
              </w:tc>
              <w:tc>
                <w:tcPr>
                  <w:tcW w:type="dxa" w:w="262"/>
                  <w:vMerge/>
                  <w:tcBorders>
                    <w:top w:val="none" w:color="000000" w:sz="4"/>
                    <w:left w:val="none" w:color="000000" w:sz="4"/>
                    <w:bottom w:val="single" w:color="000000" w:sz="4"/>
                    <w:right w:val="single" w:color="000000" w:sz="4"/>
                  </w:tcBorders>
                </w:tcPr>
                <w:p/>
              </w:tc>
              <w:tc>
                <w:tcPr>
                  <w:tcW w:type="dxa" w:w="201"/>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247"/>
                  <w:vMerge/>
                  <w:tcBorders>
                    <w:top w:val="none" w:color="000000" w:sz="4"/>
                    <w:left w:val="none" w:color="000000" w:sz="4"/>
                    <w:bottom w:val="single" w:color="000000" w:sz="4"/>
                    <w:right w:val="single" w:color="000000" w:sz="4"/>
                  </w:tcBorders>
                </w:tcP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班级名牌：结皮板雕刻</w:t>
                  </w:r>
                  <w:r>
                    <w:rPr>
                      <w:rFonts w:ascii="仿宋_GB2312" w:hAnsi="仿宋_GB2312" w:cs="仿宋_GB2312" w:eastAsia="仿宋_GB2312"/>
                      <w:sz w:val="24"/>
                      <w:color w:val="000000"/>
                    </w:rPr>
                    <w:t>UV印刷，贴A4亚克力插盒，安装7个教室。</w:t>
                  </w:r>
                </w:p>
              </w:tc>
              <w:tc>
                <w:tcPr>
                  <w:tcW w:type="dxa" w:w="262"/>
                  <w:vMerge/>
                  <w:tcBorders>
                    <w:top w:val="none" w:color="000000" w:sz="4"/>
                    <w:left w:val="none" w:color="000000" w:sz="4"/>
                    <w:bottom w:val="single" w:color="000000" w:sz="4"/>
                    <w:right w:val="single" w:color="000000" w:sz="4"/>
                  </w:tcBorders>
                </w:tcPr>
                <w:p/>
              </w:tc>
              <w:tc>
                <w:tcPr>
                  <w:tcW w:type="dxa" w:w="201"/>
                  <w:vMerge/>
                  <w:tcBorders>
                    <w:top w:val="none" w:color="000000" w:sz="4"/>
                    <w:left w:val="none" w:color="000000" w:sz="4"/>
                    <w:bottom w:val="single" w:color="000000" w:sz="4"/>
                    <w:right w:val="single" w:color="000000" w:sz="4"/>
                  </w:tcBorders>
                </w:tcPr>
                <w:p/>
              </w:tc>
            </w:tr>
            <w:tr>
              <w:tc>
                <w:tcPr>
                  <w:tcW w:type="dxa" w:w="181"/>
                  <w:vMerge/>
                  <w:tcBorders>
                    <w:top w:val="none" w:color="000000" w:sz="4"/>
                    <w:left w:val="single" w:color="000000" w:sz="4"/>
                    <w:bottom w:val="single" w:color="000000" w:sz="4"/>
                    <w:right w:val="single" w:color="000000" w:sz="4"/>
                  </w:tcBorders>
                </w:tcPr>
                <w:p/>
              </w:tc>
              <w:tc>
                <w:tcPr>
                  <w:tcW w:type="dxa" w:w="247"/>
                  <w:vMerge/>
                  <w:tcBorders>
                    <w:top w:val="none" w:color="000000" w:sz="4"/>
                    <w:left w:val="none" w:color="000000" w:sz="4"/>
                    <w:bottom w:val="single" w:color="000000" w:sz="4"/>
                    <w:right w:val="single" w:color="000000" w:sz="4"/>
                  </w:tcBorders>
                </w:tcP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安全报警标识器：</w:t>
                  </w:r>
                </w:p>
                <w:p>
                  <w:pPr>
                    <w:pStyle w:val="null3"/>
                    <w:jc w:val="left"/>
                  </w:pPr>
                  <w:r>
                    <w:rPr>
                      <w:rFonts w:ascii="仿宋_GB2312" w:hAnsi="仿宋_GB2312" w:cs="仿宋_GB2312" w:eastAsia="仿宋_GB2312"/>
                      <w:sz w:val="24"/>
                      <w:color w:val="000000"/>
                    </w:rPr>
                    <w:t>一、硬件设备</w:t>
                  </w:r>
                  <w:r>
                    <w:br/>
                  </w:r>
                  <w:r>
                    <w:rPr>
                      <w:rFonts w:ascii="仿宋_GB2312" w:hAnsi="仿宋_GB2312" w:cs="仿宋_GB2312" w:eastAsia="仿宋_GB2312"/>
                      <w:sz w:val="24"/>
                      <w:color w:val="000000"/>
                    </w:rPr>
                    <w:t>1、设备内置麦克风阵列，配置拾音半径不低于8米。</w:t>
                  </w:r>
                  <w:r>
                    <w:br/>
                  </w:r>
                  <w:r>
                    <w:rPr>
                      <w:rFonts w:ascii="仿宋_GB2312" w:hAnsi="仿宋_GB2312" w:cs="仿宋_GB2312" w:eastAsia="仿宋_GB2312"/>
                      <w:sz w:val="24"/>
                      <w:color w:val="000000"/>
                    </w:rPr>
                    <w:t>2、★具备远距离语音触发报警功能，算法支持多个两字超短关键词如：“救命”、“报警”、“着火”、“打架”等。（需提供具有CNAS或CMA标识的国家权威检测机构出具的检测报告复印件并加盖公章）</w:t>
                  </w:r>
                  <w:r>
                    <w:br/>
                  </w:r>
                  <w:r>
                    <w:rPr>
                      <w:rFonts w:ascii="仿宋_GB2312" w:hAnsi="仿宋_GB2312" w:cs="仿宋_GB2312" w:eastAsia="仿宋_GB2312"/>
                      <w:sz w:val="24"/>
                      <w:color w:val="000000"/>
                    </w:rPr>
                    <w:t>3、支持求助者触发词如：“救命”、“老师快来”等。</w:t>
                  </w:r>
                  <w:r>
                    <w:br/>
                  </w:r>
                  <w:r>
                    <w:rPr>
                      <w:rFonts w:ascii="仿宋_GB2312" w:hAnsi="仿宋_GB2312" w:cs="仿宋_GB2312" w:eastAsia="仿宋_GB2312"/>
                      <w:sz w:val="24"/>
                      <w:color w:val="000000"/>
                    </w:rPr>
                    <w:t>4、★设备支持语音触发报警，语音触发报警响应时间小于2秒。（需提供具有CNAS或CMA标识的国家权威检测机构出具的检测报告复印件并加盖公章）</w:t>
                  </w:r>
                  <w:r>
                    <w:br/>
                  </w:r>
                  <w:r>
                    <w:rPr>
                      <w:rFonts w:ascii="仿宋_GB2312" w:hAnsi="仿宋_GB2312" w:cs="仿宋_GB2312" w:eastAsia="仿宋_GB2312"/>
                      <w:sz w:val="24"/>
                      <w:color w:val="000000"/>
                    </w:rPr>
                    <w:t>5、现场语音唤醒识别率大于99%。</w:t>
                  </w:r>
                  <w:r>
                    <w:br/>
                  </w:r>
                  <w:r>
                    <w:rPr>
                      <w:rFonts w:ascii="仿宋_GB2312" w:hAnsi="仿宋_GB2312" w:cs="仿宋_GB2312" w:eastAsia="仿宋_GB2312"/>
                      <w:sz w:val="24"/>
                      <w:color w:val="000000"/>
                    </w:rPr>
                    <w:t>6、★在噪音音量分贝超过68dB的环境下，8米内现场语音唤醒识别率不低于99%，10米外识别准确率不低于96%。（需提供具有CNAS或CMA标识的国家权威检测机构出具的检测报告复印件并加盖公章）</w:t>
                  </w:r>
                  <w:r>
                    <w:br/>
                  </w:r>
                  <w:r>
                    <w:rPr>
                      <w:rFonts w:ascii="仿宋_GB2312" w:hAnsi="仿宋_GB2312" w:cs="仿宋_GB2312" w:eastAsia="仿宋_GB2312"/>
                      <w:sz w:val="24"/>
                      <w:color w:val="000000"/>
                    </w:rPr>
                    <w:t>7、设备无需安装手机卡即可同时支持电话和短信两种通知方式，用户无需安装任何APP软件或小程序。（需提供具有CNAS或CMA标识的国家权威检测机构出具的检测报告复印件并加盖公章）</w:t>
                  </w:r>
                  <w:r>
                    <w:br/>
                  </w:r>
                  <w:r>
                    <w:rPr>
                      <w:rFonts w:ascii="仿宋_GB2312" w:hAnsi="仿宋_GB2312" w:cs="仿宋_GB2312" w:eastAsia="仿宋_GB2312"/>
                      <w:sz w:val="24"/>
                      <w:color w:val="000000"/>
                    </w:rPr>
                    <w:t>8、★为确保报警事件第一时间得到响应，可最大支持同时对10人进行手机通知。其中最多支持对5个责任人同时拨打电话，第一个人接通后可直接通过电话对设备进行双向对讲（无需额外新增任何其他硬件设备），另外四人转为语音单向通报。同时还可对新增其他5个责任人发送报警短信通知。（需提供具有CNAS或CMA标识的国家权威检测机构出具的检测报告复印件并加盖公章）</w:t>
                  </w:r>
                  <w:r>
                    <w:br/>
                  </w:r>
                  <w:r>
                    <w:rPr>
                      <w:rFonts w:ascii="仿宋_GB2312" w:hAnsi="仿宋_GB2312" w:cs="仿宋_GB2312" w:eastAsia="仿宋_GB2312"/>
                      <w:sz w:val="24"/>
                      <w:color w:val="000000"/>
                    </w:rPr>
                    <w:t>9、设备支持音量分贝报警，通过测量环境中的声音强度，并将其与预设的阈值进行比较，当声音强度超过阈值时，自动触发报警。</w:t>
                  </w:r>
                  <w:r>
                    <w:br/>
                  </w:r>
                  <w:r>
                    <w:rPr>
                      <w:rFonts w:ascii="仿宋_GB2312" w:hAnsi="仿宋_GB2312" w:cs="仿宋_GB2312" w:eastAsia="仿宋_GB2312"/>
                      <w:sz w:val="24"/>
                      <w:color w:val="000000"/>
                    </w:rPr>
                    <w:t>10、设备内含报警按钮，紧急情况支持按钮报警功能。</w:t>
                  </w:r>
                  <w:r>
                    <w:br/>
                  </w:r>
                  <w:r>
                    <w:rPr>
                      <w:rFonts w:ascii="仿宋_GB2312" w:hAnsi="仿宋_GB2312" w:cs="仿宋_GB2312" w:eastAsia="仿宋_GB2312"/>
                      <w:sz w:val="24"/>
                      <w:color w:val="000000"/>
                    </w:rPr>
                    <w:t>11、设备具备声光报警驱离功能，红色灯光报警支持LED闪烁，LED灯圈亮度需大于400nit。</w:t>
                  </w:r>
                  <w:r>
                    <w:br/>
                  </w:r>
                  <w:r>
                    <w:rPr>
                      <w:rFonts w:ascii="仿宋_GB2312" w:hAnsi="仿宋_GB2312" w:cs="仿宋_GB2312" w:eastAsia="仿宋_GB2312"/>
                      <w:sz w:val="24"/>
                      <w:color w:val="000000"/>
                    </w:rPr>
                    <w:t>12、★设备具有IP66等级整机防水防尘外壳设计，设备具有报警按键、重启按键、系统复位键。（需提供具有CNAS或CMA标识的国家权威检测机构出具的检测报告复印件并加盖公章）</w:t>
                  </w:r>
                  <w:r>
                    <w:br/>
                  </w:r>
                  <w:r>
                    <w:rPr>
                      <w:rFonts w:ascii="仿宋_GB2312" w:hAnsi="仿宋_GB2312" w:cs="仿宋_GB2312" w:eastAsia="仿宋_GB2312"/>
                      <w:sz w:val="24"/>
                      <w:color w:val="000000"/>
                    </w:rPr>
                    <w:t>13、设备能全年不间歇稳定运行，每720小时（12天）误唤醒次数不超过1次。</w:t>
                  </w:r>
                  <w:r>
                    <w:br/>
                  </w:r>
                  <w:r>
                    <w:rPr>
                      <w:rFonts w:ascii="仿宋_GB2312" w:hAnsi="仿宋_GB2312" w:cs="仿宋_GB2312" w:eastAsia="仿宋_GB2312"/>
                      <w:sz w:val="24"/>
                      <w:color w:val="000000"/>
                    </w:rPr>
                    <w:t>14、★为便于更好识别设备状态，设备指示灯可同时具备通电指示、联网指示、报警指示等功能。（需提供具有CNAS或CMA标识的国家权威检测机构出具的检测报告复印件并加盖公章）</w:t>
                  </w:r>
                  <w:r>
                    <w:br/>
                  </w:r>
                  <w:r>
                    <w:rPr>
                      <w:rFonts w:ascii="仿宋_GB2312" w:hAnsi="仿宋_GB2312" w:cs="仿宋_GB2312" w:eastAsia="仿宋_GB2312"/>
                      <w:sz w:val="24"/>
                      <w:color w:val="000000"/>
                    </w:rPr>
                    <w:t>15、设备支持802.3af/at标准POE、12V/2A DC两种供电方式。</w:t>
                  </w:r>
                  <w:r>
                    <w:br/>
                  </w:r>
                  <w:r>
                    <w:rPr>
                      <w:rFonts w:ascii="仿宋_GB2312" w:hAnsi="仿宋_GB2312" w:cs="仿宋_GB2312" w:eastAsia="仿宋_GB2312"/>
                      <w:sz w:val="24"/>
                      <w:color w:val="000000"/>
                    </w:rPr>
                    <w:t>16、设备工作环境温度区间满足-30℃～70℃。</w:t>
                  </w:r>
                  <w:r>
                    <w:br/>
                  </w:r>
                  <w:r>
                    <w:rPr>
                      <w:rFonts w:ascii="仿宋_GB2312" w:hAnsi="仿宋_GB2312" w:cs="仿宋_GB2312" w:eastAsia="仿宋_GB2312"/>
                      <w:sz w:val="24"/>
                      <w:color w:val="000000"/>
                    </w:rPr>
                    <w:t>二、安全管理软件</w:t>
                  </w:r>
                  <w:r>
                    <w:br/>
                  </w:r>
                  <w:r>
                    <w:rPr>
                      <w:rFonts w:ascii="仿宋_GB2312" w:hAnsi="仿宋_GB2312" w:cs="仿宋_GB2312" w:eastAsia="仿宋_GB2312"/>
                      <w:sz w:val="24"/>
                      <w:color w:val="000000"/>
                    </w:rPr>
                    <w:t>1、信息总览</w:t>
                  </w:r>
                  <w:r>
                    <w:br/>
                  </w:r>
                  <w:r>
                    <w:rPr>
                      <w:rFonts w:ascii="仿宋_GB2312" w:hAnsi="仿宋_GB2312" w:cs="仿宋_GB2312" w:eastAsia="仿宋_GB2312"/>
                      <w:sz w:val="24"/>
                      <w:color w:val="000000"/>
                    </w:rPr>
                    <w:t>①支持对用户总数、设备总数、设备在线数、设备离线数等数据进行实时呈现。</w:t>
                  </w:r>
                  <w:r>
                    <w:br/>
                  </w:r>
                  <w:r>
                    <w:rPr>
                      <w:rFonts w:ascii="仿宋_GB2312" w:hAnsi="仿宋_GB2312" w:cs="仿宋_GB2312" w:eastAsia="仿宋_GB2312"/>
                      <w:sz w:val="24"/>
                      <w:color w:val="000000"/>
                    </w:rPr>
                    <w:t>②支持以可视化图表方式呈现校园事件趋势详情，呈现总告警事件、未处理事件、已接警/出警事件、无需出警事件、已完成事件等事件的数量统计情况，同时可自定义选择时间区间如最近一年、最近半年、最近三月、最近一月、最近一周、最近三天、最近一天来对事件数据进行筛选查看。</w:t>
                  </w:r>
                  <w:r>
                    <w:br/>
                  </w:r>
                  <w:r>
                    <w:rPr>
                      <w:rFonts w:ascii="仿宋_GB2312" w:hAnsi="仿宋_GB2312" w:cs="仿宋_GB2312" w:eastAsia="仿宋_GB2312"/>
                      <w:sz w:val="24"/>
                      <w:color w:val="000000"/>
                    </w:rPr>
                    <w:t>③支持对事件趋势可视化图表以图片方式进行一键导出。</w:t>
                  </w:r>
                  <w:r>
                    <w:br/>
                  </w:r>
                  <w:r>
                    <w:rPr>
                      <w:rFonts w:ascii="仿宋_GB2312" w:hAnsi="仿宋_GB2312" w:cs="仿宋_GB2312" w:eastAsia="仿宋_GB2312"/>
                      <w:sz w:val="24"/>
                      <w:color w:val="000000"/>
                    </w:rPr>
                    <w:t>2、账号管理</w:t>
                  </w:r>
                  <w:r>
                    <w:br/>
                  </w:r>
                  <w:r>
                    <w:rPr>
                      <w:rFonts w:ascii="仿宋_GB2312" w:hAnsi="仿宋_GB2312" w:cs="仿宋_GB2312" w:eastAsia="仿宋_GB2312"/>
                      <w:sz w:val="24"/>
                      <w:color w:val="000000"/>
                    </w:rPr>
                    <w:t>①支持对账号进行增、删、改、查管理，需提供标准模版实现批量账号的导入及导出。</w:t>
                  </w:r>
                  <w:r>
                    <w:br/>
                  </w:r>
                  <w:r>
                    <w:rPr>
                      <w:rFonts w:ascii="仿宋_GB2312" w:hAnsi="仿宋_GB2312" w:cs="仿宋_GB2312" w:eastAsia="仿宋_GB2312"/>
                      <w:sz w:val="24"/>
                      <w:color w:val="000000"/>
                    </w:rPr>
                    <w:t>②支持对账号进行搜索管理，可通过搜索账号、手机号码、使用状态等维度对账号进行快速搜索。</w:t>
                  </w:r>
                  <w:r>
                    <w:br/>
                  </w:r>
                  <w:r>
                    <w:rPr>
                      <w:rFonts w:ascii="仿宋_GB2312" w:hAnsi="仿宋_GB2312" w:cs="仿宋_GB2312" w:eastAsia="仿宋_GB2312"/>
                      <w:sz w:val="24"/>
                      <w:color w:val="000000"/>
                    </w:rPr>
                    <w:t>3、告警管理</w:t>
                  </w:r>
                  <w:r>
                    <w:br/>
                  </w:r>
                  <w:r>
                    <w:rPr>
                      <w:rFonts w:ascii="仿宋_GB2312" w:hAnsi="仿宋_GB2312" w:cs="仿宋_GB2312" w:eastAsia="仿宋_GB2312"/>
                      <w:sz w:val="24"/>
                      <w:color w:val="000000"/>
                    </w:rPr>
                    <w:t>①支持对校园内欺凌告警事件进行管理，对未处理事件、无需出警事件、已接警事件、已完成事件的数量进行实时统计。</w:t>
                  </w:r>
                  <w:r>
                    <w:br/>
                  </w:r>
                  <w:r>
                    <w:rPr>
                      <w:rFonts w:ascii="仿宋_GB2312" w:hAnsi="仿宋_GB2312" w:cs="仿宋_GB2312" w:eastAsia="仿宋_GB2312"/>
                      <w:sz w:val="24"/>
                      <w:color w:val="000000"/>
                    </w:rPr>
                    <w:t>②提供告警管理列表，列表中包含编号、设备名称、事件发生位置、通知人/责任人信息、触发方式、事件状态、上报时间等事件信息，支持按时间维度、设备编号、设备位置、事件状态等维度对列表数据进行筛选和查询。可查看列表中任意一条告警记录的详细信息情况，如通知人/责任人的姓名和电话号码、事件触发时录音回放、事件处置记录等。</w:t>
                  </w:r>
                  <w:r>
                    <w:br/>
                  </w:r>
                  <w:r>
                    <w:rPr>
                      <w:rFonts w:ascii="仿宋_GB2312" w:hAnsi="仿宋_GB2312" w:cs="仿宋_GB2312" w:eastAsia="仿宋_GB2312"/>
                      <w:sz w:val="24"/>
                      <w:color w:val="000000"/>
                    </w:rPr>
                    <w:t>③支持报警提醒发送至平台端，平台接收报警后将产生弹窗提醒并进行语音播报，且反复持续播报直至有人查看。</w:t>
                  </w:r>
                  <w:r>
                    <w:br/>
                  </w:r>
                  <w:r>
                    <w:rPr>
                      <w:rFonts w:ascii="仿宋_GB2312" w:hAnsi="仿宋_GB2312" w:cs="仿宋_GB2312" w:eastAsia="仿宋_GB2312"/>
                      <w:sz w:val="24"/>
                      <w:color w:val="000000"/>
                    </w:rPr>
                    <w:t>4、设备管理</w:t>
                  </w:r>
                  <w:r>
                    <w:br/>
                  </w:r>
                  <w:r>
                    <w:rPr>
                      <w:rFonts w:ascii="仿宋_GB2312" w:hAnsi="仿宋_GB2312" w:cs="仿宋_GB2312" w:eastAsia="仿宋_GB2312"/>
                      <w:sz w:val="24"/>
                      <w:color w:val="000000"/>
                    </w:rPr>
                    <w:t>①提供设备管理列表，列表中包含设备名称、设备标识符、设备位置、通知人、责任人、设备状态、状态持续时间等设备信息，支持按设备标识符、设备位置、设备状态等维度对列表数据进行筛选和查询。</w:t>
                  </w:r>
                  <w:r>
                    <w:br/>
                  </w:r>
                  <w:r>
                    <w:rPr>
                      <w:rFonts w:ascii="仿宋_GB2312" w:hAnsi="仿宋_GB2312" w:cs="仿宋_GB2312" w:eastAsia="仿宋_GB2312"/>
                      <w:sz w:val="24"/>
                      <w:color w:val="000000"/>
                    </w:rPr>
                    <w:t>②支持对设备进行操作管理，支持对设备名称、设备所处位置、设备灯光、报警音量、麦克风音量、报警开关时间、报警音频文件、视频联动推流地址等设备信息进行编辑和管理。</w:t>
                  </w:r>
                  <w:r>
                    <w:br/>
                  </w:r>
                  <w:r>
                    <w:rPr>
                      <w:rFonts w:ascii="仿宋_GB2312" w:hAnsi="仿宋_GB2312" w:cs="仿宋_GB2312" w:eastAsia="仿宋_GB2312"/>
                      <w:sz w:val="24"/>
                      <w:color w:val="000000"/>
                    </w:rPr>
                    <w:t>③支持对设备的告警触发词进行设置，包含求助者触发词、施暴者触发词、旁观者触发词、急救触发词等，同时支持用户根据实际使用需求，在线自定义配置关键词，且自定义关键词的数量无限制。</w:t>
                  </w:r>
                  <w:r>
                    <w:br/>
                  </w:r>
                  <w:r>
                    <w:rPr>
                      <w:rFonts w:ascii="仿宋_GB2312" w:hAnsi="仿宋_GB2312" w:cs="仿宋_GB2312" w:eastAsia="仿宋_GB2312"/>
                      <w:sz w:val="24"/>
                      <w:color w:val="000000"/>
                    </w:rPr>
                    <w:t>④支持对设备进行远程操作，如重启设备、重启通话、侧听设备以及对设备进行喊话等操作。</w:t>
                  </w:r>
                  <w:r>
                    <w:br/>
                  </w:r>
                  <w:r>
                    <w:rPr>
                      <w:rFonts w:ascii="仿宋_GB2312" w:hAnsi="仿宋_GB2312" w:cs="仿宋_GB2312" w:eastAsia="仿宋_GB2312"/>
                      <w:sz w:val="24"/>
                      <w:color w:val="000000"/>
                    </w:rPr>
                    <w:t>⑤支持对设备位置进行管理，支持位置信息的增、删、改、查，位置包含上级地址、区域类型、经纬度、位置描述等信息，可根据学校业务需要细分为区县、学校、楼栋、楼层等位置。</w:t>
                  </w:r>
                  <w:r>
                    <w:br/>
                  </w:r>
                  <w:r>
                    <w:rPr>
                      <w:rFonts w:ascii="仿宋_GB2312" w:hAnsi="仿宋_GB2312" w:cs="仿宋_GB2312" w:eastAsia="仿宋_GB2312"/>
                      <w:sz w:val="24"/>
                      <w:color w:val="000000"/>
                    </w:rPr>
                    <w:t>⑥支持对人员库进行管理，可通过填写姓名、联系方式等信息新增联系人员；同时提供人员管理列表，列表中包含编号、姓名、电话号码、状态等信息，可通过搜索姓名、联系方式、状态等维度对列表数据进行筛选和查询，安装1套，1个教室。</w:t>
                  </w:r>
                </w:p>
              </w:tc>
              <w:tc>
                <w:tcPr>
                  <w:tcW w:type="dxa" w:w="262"/>
                  <w:vMerge/>
                  <w:tcBorders>
                    <w:top w:val="none" w:color="000000" w:sz="4"/>
                    <w:left w:val="none" w:color="000000" w:sz="4"/>
                    <w:bottom w:val="single" w:color="000000" w:sz="4"/>
                    <w:right w:val="single" w:color="000000" w:sz="4"/>
                  </w:tcBorders>
                </w:tcPr>
                <w:p/>
              </w:tc>
              <w:tc>
                <w:tcPr>
                  <w:tcW w:type="dxa" w:w="201"/>
                  <w:vMerge/>
                  <w:tcBorders>
                    <w:top w:val="none" w:color="000000" w:sz="4"/>
                    <w:left w:val="none" w:color="000000" w:sz="4"/>
                    <w:bottom w:val="single" w:color="000000" w:sz="4"/>
                    <w:right w:val="single" w:color="000000" w:sz="4"/>
                  </w:tcBorders>
                </w:tcP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学生储物柜</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8门，1500*750*400；12门，1500*1100*400，一套共52门。材质：优质冷轧钢板，厚度0.6mm；</w:t>
                  </w:r>
                  <w:r>
                    <w:br/>
                  </w:r>
                  <w:r>
                    <w:rPr>
                      <w:rFonts w:ascii="仿宋_GB2312" w:hAnsi="仿宋_GB2312" w:cs="仿宋_GB2312" w:eastAsia="仿宋_GB2312"/>
                      <w:sz w:val="24"/>
                      <w:color w:val="000000"/>
                    </w:rPr>
                    <w:t>工艺：经下料，冲孔，折弯，组装，焊接，除油，酸洗磷化，静电塑粉喷涂，高温加热干燥等处理；</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教室讲桌</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全木结构，规格：</w:t>
                  </w:r>
                  <w:r>
                    <w:rPr>
                      <w:rFonts w:ascii="仿宋_GB2312" w:hAnsi="仿宋_GB2312" w:cs="仿宋_GB2312" w:eastAsia="仿宋_GB2312"/>
                      <w:sz w:val="24"/>
                      <w:color w:val="000000"/>
                    </w:rPr>
                    <w:t>1200*600*900mm</w:t>
                  </w:r>
                  <w:r>
                    <w:br/>
                  </w:r>
                  <w:r>
                    <w:rPr>
                      <w:rFonts w:ascii="仿宋_GB2312" w:hAnsi="仿宋_GB2312" w:cs="仿宋_GB2312" w:eastAsia="仿宋_GB2312"/>
                      <w:sz w:val="24"/>
                      <w:color w:val="000000"/>
                    </w:rPr>
                    <w:t>1.板材均采用E1级实木颗粒板。桌面厚度：≥25mm,其余部分厚度：≥18mm.</w:t>
                  </w:r>
                  <w:r>
                    <w:br/>
                  </w:r>
                  <w:r>
                    <w:rPr>
                      <w:rFonts w:ascii="仿宋_GB2312" w:hAnsi="仿宋_GB2312" w:cs="仿宋_GB2312" w:eastAsia="仿宋_GB2312"/>
                      <w:sz w:val="24"/>
                      <w:color w:val="000000"/>
                    </w:rPr>
                    <w:t>2.结构：桌面后端部分加弧形挡板，桌面下设置抽屉，侧立板流线型设计。</w:t>
                  </w:r>
                  <w:r>
                    <w:br/>
                  </w:r>
                  <w:r>
                    <w:rPr>
                      <w:rFonts w:ascii="仿宋_GB2312" w:hAnsi="仿宋_GB2312" w:cs="仿宋_GB2312" w:eastAsia="仿宋_GB2312"/>
                      <w:sz w:val="24"/>
                      <w:color w:val="000000"/>
                    </w:rPr>
                    <w:t xml:space="preserve">3.封边：选用 PVC 封边条，厚度≥1.5mm，封边平滑，颜色与板材一致。  </w:t>
                  </w:r>
                  <w:r>
                    <w:br/>
                  </w:r>
                  <w:r>
                    <w:rPr>
                      <w:rFonts w:ascii="仿宋_GB2312" w:hAnsi="仿宋_GB2312" w:cs="仿宋_GB2312" w:eastAsia="仿宋_GB2312"/>
                      <w:sz w:val="24"/>
                      <w:color w:val="000000"/>
                    </w:rPr>
                    <w:t>4.热熔胶：选用环保热熔胶，粘性强，久不分层，具有防水性、防潮性、耐油性、耐撞性等特点。</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软木后黑板</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组合式固定软木板，浅灰色细麻布软木作品告示板，软木板厚度</w:t>
                  </w:r>
                  <w:r>
                    <w:rPr>
                      <w:rFonts w:ascii="仿宋_GB2312" w:hAnsi="仿宋_GB2312" w:cs="仿宋_GB2312" w:eastAsia="仿宋_GB2312"/>
                      <w:sz w:val="24"/>
                      <w:color w:val="000000"/>
                    </w:rPr>
                    <w:t>5mm；普通软木颗粒集成压制板，无甲醛释放，边框：木边框或者哑光黑色金属铝质包边（厚度0.8mm）；尺寸30mm*20mm  背版：优质热镀锌板（厚度0.3mm），镀锌厚度200g；内芯：高强度聚苯乙烯板（厚度10mm）；软木板板面包(浅灰色)细麻布；软木板整块厚度应达20mm；板面应平整挺括，无翘曲现象；软木板布面必须贴紧软木内芯。</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办公桌椅</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w:t>
                  </w:r>
                  <w:r>
                    <w:rPr>
                      <w:rFonts w:ascii="仿宋_GB2312" w:hAnsi="仿宋_GB2312" w:cs="仿宋_GB2312" w:eastAsia="仿宋_GB2312"/>
                      <w:sz w:val="24"/>
                      <w:color w:val="000000"/>
                    </w:rPr>
                    <w:t>1400*700*750，1.面材：E1级三聚氰胺装饰面刨花板，厚度25mm。2.封边：PVC封边条，台面封边厚度2.0mm，柜体封边1.0mm，环保热熔胶。3.五金件：三节导轨，单锁。每个座位配一个单门柜，一个主机车，一块立板。</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电子琴</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61键，力度感响应键盘； 音色数：≥760种及以上，伴奏示范曲数：不低于250首，复音数：不少于48个。LCD屏，中文面版。功放：≥6W*2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文件柜</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钢制柜：采用冷轧钢板制作，一次冲压成型，表面静电喷塑。板材厚度：</w:t>
                  </w:r>
                  <w:r>
                    <w:rPr>
                      <w:rFonts w:ascii="仿宋_GB2312" w:hAnsi="仿宋_GB2312" w:cs="仿宋_GB2312" w:eastAsia="仿宋_GB2312"/>
                      <w:sz w:val="24"/>
                      <w:color w:val="000000"/>
                    </w:rPr>
                    <w:t>≥0.8mm。1800*900*400mm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部室改建搬运</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拆除部室内现有水池、台面，保护性拆除实验桌椅等，所有物品搬至地下室指定位置。</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间</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合同签订后20天内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合同签订后，项目完成并验收合格交付使用，一次性支付所有价款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合同签订后，项目完成并验收合格交付使用，一次性支付所有价款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 以确认货物是否符合合同规格的要求，并且不承担额外的费用。若有特殊需求合同专用条款和技术规格将说明采购人要求进行的检验和测试，以 及在何处进行这些检验和测试。采购人将及时以书面形式把进行检验和/或采购人测试代表的身份通知供应商。（三）检验和验收可以在供应商或 货物制造厂的所在地、交货地点和/或货物的最终目的地进行。如果在供应商或货物制造厂的所在地进行，供应商应免费为采购人的检验或验收人 员提供工作条件，包括但不限于必要的技术资料、检测工具和仪器。（四）如果任何被检验或测试的货物不能满足合同及相关文件规格的要求， 采购人可以拒绝接受该货物，供应商应更换被拒绝的货物，或者免费进行必要的修改以满足规格的要求。（五）采购人在货物到达最终目的地后 对货物进行验收、检测或测试及必要时拒绝接受货物的权力将不会因为货物在从供应商或货物制造厂启运前通过了采购人或其代表的检验、测试 和认可而受到限制或放弃。（六）验收依据： 1、本合同及合同附件。 2、国家相应的标准、规范。 3、谈判文件、响应文件、澄清表（函）。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一）货物到货后，由采购人根据合同规定的技术、服务、安全标准要求进行验收，并出具验收书。（二）采购人有权检验和/或测试货物， 以确认货物是否符合合同规格的要求，并且不承担额外的费用。若有特殊需求合同专用条款和技术规格将说明采购人要求进行的检验和测试，以 及在何处进行这些检验和测试。采购人将及时以书面形式把进行检验和/或采购人测试代表的身份通知供应商。（三）检验和验收可以在供应商或 货物制造厂的所在地、交货地点和/或货物的最终目的地进行。如果在供应商或货物制造厂的所在地进行，供应商应免费为采购人的检验或验收人 员提供工作条件，包括但不限于必要的技术资料、检测工具和仪器。（四）如果任何被检验或测试的货物不能满足合同及相关文件规格的要求， 采购人可以拒绝接受该货物，供应商应更换被拒绝的货物，或者免费进行必要的修改以满足规格的要求。（五）采购人在货物到达最终目的地后 对货物进行验收、检测或测试及必要时拒绝接受货物的权力将不会因为货物在从供应商或货物制造厂启运前通过了采购人或其代表的检验、测试 和认可而受到限制或放弃。（六）验收依据： 1、本合同及合同附件。 2、国家相应的标准、规范。 3、谈判文件、响应文件、澄清表（函）。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 在正确安装、正常使用和保养条件下，在其使用寿命内应具有满意的性能。在货物最终验收后的质量保证期内，卖方应对由于设计、工艺或材料 的缺陷而产生的故障负责。质保期满后如出现此类问题亦应负责。 （二）在质量保证期内，如果货物的质量、规格、技术指标等与合同有任何一 项不符，买方应尽快以书面形式向卖方提出索赔。同时应向政府采购管理部门报告。 （三）卖方在收到买方的通知后，应及时免费维修或更换有 缺陷的货物或部件，并相应延长保修期限。具体响应时限见专用合同条款。 （四）如果卖方在收到通知后，没有在上述专用合同条款中规定的时 限内及时弥补缺陷，买方可采取必要的补救措施，但其风险和费用将由卖方承担，买方根据合同规定对卖方行使的其它权力不受影响。 （五）质保期：验收合格之日起 3 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（一）卖方应保证所供货物是全新的、未使用过的，并完全符合合同规定的质量、规格、技术指标(包括合同附件)等要求。卖方应保证其货物 在正确安装、正常使用和保养条件下，在其使用寿命内应具有满意的性能。在货物最终验收后的质量保证期内，卖方应对由于设计、工艺或材料 的缺陷而产生的故障负责。质保期满后如出现此类问题亦应负责。 （二）在质量保证期内，如果货物的质量、规格、技术指标等与合同有任何一 项不符，买方应尽快以书面形式向卖方提出索赔。同时应向政府采购管理部门报告。 （三）卖方在收到买方的通知后，应及时免费维修或更换有 缺陷的货物或部件，并相应延长保修期限。具体响应时限见专用合同条款。 （四）如果卖方在收到通知后，没有在上述专用合同条款中规定的时 限内及时弥补缺陷，买方可采取必要的补救措施，但其风险和费用将由卖方承担，买方根据合同规定对卖方行使的其它权力不受影响。 （五）质保期：验收合格之日起 3 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 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 到卖方通知后，应尽快对情况进行评价，并确定是否通过修改合同，酌情延长交货时间或对卖方加收误期赔偿金。误期赔偿金以每周0 .5%计。 （四）签约双方任何一方由于不可抗力事件的影响而不能执行合同时，履行合同的期限应予延长，其延长的期限应相当于事件所影响的时间。不 可抗力事件系指买卖双方在缔结合同时所不能预见的，并且它的发生及其后果是无法避免和无法克服的事件，诸如战争、严重火灾、洪水、台 风、地震等。（五）受影响一方应在不可抗力事件发生后尽快用书面形式通知对方，并于不可抗力事件发生后十四（14）天内将有关当局出具的 证明文件用特快专递或挂号信寄给对方审阅确认。（六）因合同一方迟延履行合同后发生不可抗力的，不能免除迟延履行方的相应责任。 争议的 解决：本合同在履行过程中发生的争议，由采购人、供货商双方当事人协商解决，协商不成的依法向采购人所在地人民法院起诉。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（一）合同一方不履行合同义务、履行合同义务不符合约定或者违反合同项下所作保证的，应向对方承担继续履行、采取修理、更换、退货 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 到卖方通知后，应尽快对情况进行评价，并确定是否通过修改合同，酌情延长交货时间或对卖方加收误期赔偿金。误期赔偿金以每周0 .5%计。 （四）签约双方任何一方由于不可抗力事件的影响而不能执行合同时，履行合同的期限应予延长，其延长的期限应相当于事件所影响的时间。不 可抗力事件系指买卖双方在缔结合同时所不能预见的，并且它的发生及其后果是无法避免和无法克服的事件，诸如战争、严重火灾、洪水、台 风、地震等。（五）受影响一方应在不可抗力事件发生后尽快用书面形式通知对方，并于不可抗力事件发生后十四（14）天内将有关当局出具的 证明文件用特快专递或挂号信寄给对方审阅确认。（六）因合同一方迟延履行合同后发生不可抗力的，不能免除迟延履行方的相应责任。 争议的 解决：本合同在履行过程中发生的争议，由采购人、供货商双方当事人协商解决，协商不成的依法向采购人所在地人民法院起诉。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1.交货期：合同签订后20天内。 2.付款方式： ①合同签订后，项目完成并验收合格交付使用，一次性支付所有价款； ②如因投标人责任而造成延期，每超 过一天按合同总价款的1‰支付采购人误期赔偿金（以此条为准）； ③支付方式：银行转账。 3.质保期：验收合格之日起 3 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1.交货期：合同签订后20天内。 2.付款方式： ①合同签订后，项目完成并验收合格交付使用，一次性支付所有价款； ②如因投标人责任而造成延期，每超 过一天按合同总价款的1‰支付采购人误期赔偿金（以此条为准）； ③支付方式：银行转账。 3.质保期：验收合格之日起 3 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提供2024年度经审计的财务报告（包括注册会计师签名及“ 四表一注” 即《资产负债表》《利润表》《现金流量表》《所有者权益变动表》及其附注；成立时间至提交谈判响应文件截止时间不足一年的可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提供2024年度经审计的财务报告（包括注册会计师签名及“ 四表一注” 即《资产负债表》《利润表》《现金流量表》《所有者权益变动表》及其附注；成立时间至提交谈判响应文件截止时间不足一年的可提供成立后任意时段的资产负债表）或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提供谈判截止日前六个月内已缴纳的至少一个月的纳税证明或完税证明，依法免税的单位应提供相关证明材料。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提供谈判截止日前六个月内已缴存的至少一个月的社会保障资金缴存单据或社保机构开具的社会保险参保缴费情况证明，依法不需要缴纳社会保障资金的单位应提供相关证明材料。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提供谈判截止日前六个月内已缴纳的至少一个月的纳税证明或完税证明，依法免税的单位应提供相关证明材料。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提供谈判截止日前六个月内已缴存的至少一个月的社会保障资金缴存单据或社保机构开具的社会保险参保缴费情况证明，依法不需要缴纳社会保障资金的单位应提供相关证明材料。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谈判报价填写应符合谈判文件第3 .5条要求。</w:t>
            </w:r>
          </w:p>
        </w:tc>
        <w:tc>
          <w:tcPr>
            <w:tcW w:type="dxa" w:w="1661"/>
          </w:tcPr>
          <w:p>
            <w:pPr>
              <w:pStyle w:val="null3"/>
            </w:pPr>
            <w:r>
              <w:rPr>
                <w:rFonts w:ascii="仿宋_GB2312" w:hAnsi="仿宋_GB2312" w:cs="仿宋_GB2312" w:eastAsia="仿宋_GB2312"/>
              </w:rPr>
              <w:t>响应文件封面 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 附加条件。2.所响应的带★技术参数的产品需提供合法 来源证明，包括但不限于原厂授权/销售协议/代理协议 等相关证明材料，未提供视为无效文件。3.供应商必须 响应并满足技术参数，★项不允许出现负偏离，同时按 照要求提供相关证明材料。出现负偏离或无响应的，视 为无效文件。</w:t>
            </w:r>
          </w:p>
        </w:tc>
        <w:tc>
          <w:tcPr>
            <w:tcW w:type="dxa" w:w="1661"/>
          </w:tcPr>
          <w:p>
            <w:pPr>
              <w:pStyle w:val="null3"/>
            </w:pPr>
            <w:r>
              <w:rPr>
                <w:rFonts w:ascii="仿宋_GB2312" w:hAnsi="仿宋_GB2312" w:cs="仿宋_GB2312" w:eastAsia="仿宋_GB2312"/>
              </w:rPr>
              <w:t>响应文件封面 技术方案.docx 分项报价表.docx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谈判报价填写应符合谈判文件第3 .5条要求。</w:t>
            </w:r>
          </w:p>
        </w:tc>
        <w:tc>
          <w:tcPr>
            <w:tcW w:type="dxa" w:w="1661"/>
          </w:tcPr>
          <w:p>
            <w:pPr>
              <w:pStyle w:val="null3"/>
            </w:pPr>
            <w:r>
              <w:rPr>
                <w:rFonts w:ascii="仿宋_GB2312" w:hAnsi="仿宋_GB2312" w:cs="仿宋_GB2312" w:eastAsia="仿宋_GB2312"/>
              </w:rPr>
              <w:t>响应文件封面 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 附加条件。2.所响应的带★技术参数的产品需提供合法 来源证明，包括但不限于原厂授权/销售协议/代理协议 等相关证明材料，未提供视为无效文件。3.供应商必须 响应并满足技术参数，★项不允许出现负偏离，同时按 照要求提供相关证明材料。出现负偏离或无响应的，视 为无效文件。</w:t>
            </w:r>
          </w:p>
        </w:tc>
        <w:tc>
          <w:tcPr>
            <w:tcW w:type="dxa" w:w="1661"/>
          </w:tcPr>
          <w:p>
            <w:pPr>
              <w:pStyle w:val="null3"/>
            </w:pPr>
            <w:r>
              <w:rPr>
                <w:rFonts w:ascii="仿宋_GB2312" w:hAnsi="仿宋_GB2312" w:cs="仿宋_GB2312" w:eastAsia="仿宋_GB2312"/>
              </w:rPr>
              <w:t>响应文件封面 技术方案.docx 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