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版本号：2025-HXCT-08220250724001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航天中学消防改造工程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2025-HXCT-082</w:t>
      </w:r>
      <w:r>
        <w:br/>
      </w:r>
      <w:r>
        <w:br/>
      </w:r>
      <w:r>
        <w:br/>
      </w:r>
    </w:p>
    <w:p>
      <w:pPr>
        <w:pStyle w:val="null3"/>
        <w:jc w:val="center"/>
        <w:outlineLvl w:val="2"/>
      </w:pPr>
      <w:r>
        <w:rPr>
          <w:rFonts w:ascii="仿宋_GB2312" w:hAnsi="仿宋_GB2312" w:cs="仿宋_GB2312" w:eastAsia="仿宋_GB2312"/>
          <w:sz w:val="28"/>
          <w:b/>
        </w:rPr>
        <w:t>西安市航天中学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西安市航天中学</w:t>
      </w:r>
      <w:r>
        <w:rPr>
          <w:rFonts w:ascii="仿宋_GB2312" w:hAnsi="仿宋_GB2312" w:cs="仿宋_GB2312" w:eastAsia="仿宋_GB2312"/>
        </w:rPr>
        <w:t>委托，拟对</w:t>
      </w:r>
      <w:r>
        <w:rPr>
          <w:rFonts w:ascii="仿宋_GB2312" w:hAnsi="仿宋_GB2312" w:cs="仿宋_GB2312" w:eastAsia="仿宋_GB2312"/>
        </w:rPr>
        <w:t>航天中学消防改造工程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2025-HXCT-082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航天中学消防改造工程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航天中学消防改造工程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采购包1（航天中学消防改造工程）：属于专门面向中小企业采购。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4、资质证书：供应商具备消防设施工程专业承包二级及以上资质，具有有效的国家建设行政主管部门颁发的安全生产许可证。</w:t>
      </w:r>
    </w:p>
    <w:p>
      <w:pPr>
        <w:pStyle w:val="null3"/>
      </w:pPr>
      <w:r>
        <w:rPr>
          <w:rFonts w:ascii="仿宋_GB2312" w:hAnsi="仿宋_GB2312" w:cs="仿宋_GB2312" w:eastAsia="仿宋_GB2312"/>
        </w:rPr>
        <w:t>5、项目经理：供应商拟派项目经理具有机电工程专业二级及以上注册建造师资格，具备有效的安全生产考核合格证书（建安B证），且无不良信用记录，无在建工程（提供承诺书）。</w:t>
      </w:r>
    </w:p>
    <w:p>
      <w:pPr>
        <w:pStyle w:val="null3"/>
      </w:pPr>
      <w:r>
        <w:rPr>
          <w:rFonts w:ascii="仿宋_GB2312" w:hAnsi="仿宋_GB2312" w:cs="仿宋_GB2312" w:eastAsia="仿宋_GB2312"/>
        </w:rPr>
        <w:t>6、非联合体声明：本项目不接受联合体投标。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陕西省西安市国家民用产业基地凤栖东路258号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13201780511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采购包1：402,523.72元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代理服务费收费标准：1、根据《国家发展改革委关于进一步放开建设项目专业服务价格的通知 》(发改价格[2015]299号)的有关规定执行。 代理费缴存账户：开户名称：华夏城投项目管理有限公司 开户银行：招商银行股份有限公司西安城北支行 账号：129914077110901 备注：项目名称代理服务费 2、成交单位在领取成交通 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西安市航天中学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联系电话：13201780511</w:t>
      </w:r>
    </w:p>
    <w:p>
      <w:pPr>
        <w:pStyle w:val="null3"/>
      </w:pPr>
      <w:r>
        <w:rPr>
          <w:rFonts w:ascii="仿宋_GB2312" w:hAnsi="仿宋_GB2312" w:cs="仿宋_GB2312" w:eastAsia="仿宋_GB2312"/>
        </w:rPr>
        <w:t>地址：西安市未央区凤城七路长和国际D座26层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402,523.72</w:t>
      </w:r>
    </w:p>
    <w:p>
      <w:pPr>
        <w:pStyle w:val="null3"/>
      </w:pPr>
      <w:r>
        <w:rPr>
          <w:rFonts w:ascii="仿宋_GB2312" w:hAnsi="仿宋_GB2312" w:cs="仿宋_GB2312" w:eastAsia="仿宋_GB2312"/>
        </w:rPr>
        <w:t>采购包最高限价（元）: 402,523.72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航天中学消防改造工程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402,523.72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标的名称：航天中学消防改造工程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编制内容</w:t>
            </w:r>
          </w:p>
          <w:p>
            <w:pPr>
              <w:pStyle w:val="null3"/>
              <w:ind w:firstLine="480"/>
              <w:jc w:val="both"/>
            </w:pPr>
            <w:r>
              <w:rPr>
                <w:rFonts w:ascii="仿宋_GB2312" w:hAnsi="仿宋_GB2312" w:cs="仿宋_GB2312" w:eastAsia="仿宋_GB2312"/>
                <w:sz w:val="24"/>
              </w:rPr>
              <w:t>图纸内工程量</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编制依据</w:t>
            </w:r>
          </w:p>
          <w:p>
            <w:pPr>
              <w:pStyle w:val="null3"/>
              <w:spacing w:before="45" w:after="45"/>
              <w:ind w:firstLine="420"/>
              <w:jc w:val="both"/>
            </w:pPr>
            <w:r>
              <w:rPr>
                <w:rFonts w:ascii="仿宋_GB2312" w:hAnsi="仿宋_GB2312" w:cs="仿宋_GB2312" w:eastAsia="仿宋_GB2312"/>
                <w:sz w:val="24"/>
              </w:rPr>
              <w:t>1.</w:t>
            </w:r>
            <w:r>
              <w:rPr>
                <w:rFonts w:ascii="仿宋_GB2312" w:hAnsi="仿宋_GB2312" w:cs="仿宋_GB2312" w:eastAsia="仿宋_GB2312"/>
                <w:sz w:val="24"/>
              </w:rPr>
              <w:t>《陕西省建设工程工程量清单计价规则》</w:t>
            </w:r>
            <w:r>
              <w:rPr>
                <w:rFonts w:ascii="仿宋_GB2312" w:hAnsi="仿宋_GB2312" w:cs="仿宋_GB2312" w:eastAsia="仿宋_GB2312"/>
                <w:sz w:val="24"/>
              </w:rPr>
              <w:t>(2009年)，《陕西省</w:t>
            </w:r>
            <w:r>
              <w:rPr>
                <w:rFonts w:ascii="仿宋_GB2312" w:hAnsi="仿宋_GB2312" w:cs="仿宋_GB2312" w:eastAsia="仿宋_GB2312"/>
                <w:sz w:val="24"/>
              </w:rPr>
              <w:t>市政</w:t>
            </w:r>
            <w:r>
              <w:rPr>
                <w:rFonts w:ascii="仿宋_GB2312" w:hAnsi="仿宋_GB2312" w:cs="仿宋_GB2312" w:eastAsia="仿宋_GB2312"/>
                <w:sz w:val="24"/>
              </w:rPr>
              <w:t>工程消耗量定额》（</w:t>
            </w:r>
            <w:r>
              <w:rPr>
                <w:rFonts w:ascii="仿宋_GB2312" w:hAnsi="仿宋_GB2312" w:cs="仿宋_GB2312" w:eastAsia="仿宋_GB2312"/>
                <w:sz w:val="24"/>
              </w:rPr>
              <w:t>2004），《陕西省安装工程消耗量定额》（2004），与定额相配套使用的《陕西省</w:t>
            </w:r>
            <w:r>
              <w:rPr>
                <w:rFonts w:ascii="仿宋_GB2312" w:hAnsi="仿宋_GB2312" w:cs="仿宋_GB2312" w:eastAsia="仿宋_GB2312"/>
                <w:sz w:val="24"/>
              </w:rPr>
              <w:t>市政</w:t>
            </w:r>
            <w:r>
              <w:rPr>
                <w:rFonts w:ascii="仿宋_GB2312" w:hAnsi="仿宋_GB2312" w:cs="仿宋_GB2312" w:eastAsia="仿宋_GB2312"/>
                <w:sz w:val="24"/>
              </w:rPr>
              <w:t>工程价目表》（</w:t>
            </w:r>
            <w:r>
              <w:rPr>
                <w:rFonts w:ascii="仿宋_GB2312" w:hAnsi="仿宋_GB2312" w:cs="仿宋_GB2312" w:eastAsia="仿宋_GB2312"/>
                <w:sz w:val="24"/>
              </w:rPr>
              <w:t>2009），《陕西省安装工程价目表》（2009），《陕西省建设工程施工机械台班价目表》（2009），《陕西省建设工程工程量清单计价费率》（2009）及其他相关的计价依据和办法。</w:t>
            </w:r>
          </w:p>
          <w:p>
            <w:pPr>
              <w:pStyle w:val="null3"/>
              <w:spacing w:before="45" w:after="45"/>
              <w:ind w:firstLine="420"/>
              <w:jc w:val="both"/>
            </w:pPr>
            <w:r>
              <w:rPr>
                <w:rFonts w:ascii="仿宋_GB2312" w:hAnsi="仿宋_GB2312" w:cs="仿宋_GB2312" w:eastAsia="仿宋_GB2312"/>
                <w:sz w:val="24"/>
              </w:rPr>
              <w:t>2.陕西省住房和城乡建设厅：关于调整房屋建筑和市政基础设施工程工程量清单计价综合人工单价的通知陕建发【2021】1097号文件综合人工单价136元/工日、装饰工程人工单价146元/工日；</w:t>
            </w:r>
          </w:p>
          <w:p>
            <w:pPr>
              <w:pStyle w:val="null3"/>
              <w:spacing w:before="45" w:after="45"/>
              <w:ind w:firstLine="420"/>
              <w:jc w:val="both"/>
            </w:pPr>
            <w:r>
              <w:rPr>
                <w:rFonts w:ascii="仿宋_GB2312" w:hAnsi="仿宋_GB2312" w:cs="仿宋_GB2312" w:eastAsia="仿宋_GB2312"/>
                <w:sz w:val="24"/>
              </w:rPr>
              <w:t>3.陕西省住房和城乡建设厅：关于全省统一停止收缴建筑业劳保费用的通知陕建发【2021】1021号文件。</w:t>
            </w:r>
          </w:p>
          <w:p>
            <w:pPr>
              <w:pStyle w:val="null3"/>
              <w:spacing w:before="45" w:after="45"/>
              <w:ind w:firstLine="420"/>
              <w:jc w:val="both"/>
            </w:pPr>
            <w:r>
              <w:rPr>
                <w:rFonts w:ascii="仿宋_GB2312" w:hAnsi="仿宋_GB2312" w:cs="仿宋_GB2312" w:eastAsia="仿宋_GB2312"/>
                <w:sz w:val="24"/>
              </w:rPr>
              <w:t>4.正常施工组织设计及施工方法。</w:t>
            </w:r>
          </w:p>
          <w:p>
            <w:pPr>
              <w:pStyle w:val="null3"/>
              <w:spacing w:before="45" w:after="45"/>
              <w:ind w:firstLine="420"/>
              <w:jc w:val="both"/>
            </w:pPr>
            <w:r>
              <w:rPr>
                <w:rFonts w:ascii="仿宋_GB2312" w:hAnsi="仿宋_GB2312" w:cs="仿宋_GB2312" w:eastAsia="仿宋_GB2312"/>
                <w:sz w:val="24"/>
              </w:rPr>
              <w:t>5.设计</w:t>
            </w:r>
            <w:r>
              <w:rPr>
                <w:rFonts w:ascii="仿宋_GB2312" w:hAnsi="仿宋_GB2312" w:cs="仿宋_GB2312" w:eastAsia="仿宋_GB2312"/>
                <w:sz w:val="24"/>
              </w:rPr>
              <w:t>图纸</w:t>
            </w:r>
            <w:r>
              <w:rPr>
                <w:rFonts w:ascii="仿宋_GB2312" w:hAnsi="仿宋_GB2312" w:cs="仿宋_GB2312" w:eastAsia="仿宋_GB2312"/>
                <w:sz w:val="24"/>
              </w:rPr>
              <w:t>采用的</w:t>
            </w:r>
            <w:r>
              <w:rPr>
                <w:rFonts w:ascii="仿宋_GB2312" w:hAnsi="仿宋_GB2312" w:cs="仿宋_GB2312" w:eastAsia="仿宋_GB2312"/>
                <w:sz w:val="24"/>
              </w:rPr>
              <w:t>有关标准图集</w:t>
            </w:r>
            <w:r>
              <w:rPr>
                <w:rFonts w:ascii="仿宋_GB2312" w:hAnsi="仿宋_GB2312" w:cs="仿宋_GB2312" w:eastAsia="仿宋_GB2312"/>
                <w:sz w:val="24"/>
              </w:rPr>
              <w:t>、</w:t>
            </w:r>
            <w:r>
              <w:rPr>
                <w:rFonts w:ascii="仿宋_GB2312" w:hAnsi="仿宋_GB2312" w:cs="仿宋_GB2312" w:eastAsia="仿宋_GB2312"/>
                <w:sz w:val="24"/>
              </w:rPr>
              <w:t>施工规范、验收规范</w:t>
            </w:r>
            <w:r>
              <w:rPr>
                <w:rFonts w:ascii="仿宋_GB2312" w:hAnsi="仿宋_GB2312" w:cs="仿宋_GB2312" w:eastAsia="仿宋_GB2312"/>
                <w:sz w:val="24"/>
              </w:rPr>
              <w:t>。</w:t>
            </w:r>
          </w:p>
          <w:p>
            <w:pPr>
              <w:pStyle w:val="null3"/>
              <w:spacing w:before="45" w:after="45"/>
              <w:ind w:firstLine="420"/>
              <w:jc w:val="both"/>
            </w:pPr>
            <w:r>
              <w:rPr>
                <w:rFonts w:ascii="仿宋_GB2312" w:hAnsi="仿宋_GB2312" w:cs="仿宋_GB2312" w:eastAsia="仿宋_GB2312"/>
                <w:sz w:val="24"/>
              </w:rPr>
              <w:t>6.主要材料价格执行《陕西省工程造价管理信息》2025年第 6 期。</w:t>
            </w:r>
          </w:p>
          <w:p>
            <w:pPr>
              <w:pStyle w:val="null3"/>
              <w:jc w:val="both"/>
            </w:pPr>
            <w:r>
              <w:rPr>
                <w:rFonts w:ascii="仿宋_GB2312" w:hAnsi="仿宋_GB2312" w:cs="仿宋_GB2312" w:eastAsia="仿宋_GB2312"/>
                <w:sz w:val="24"/>
                <w:b/>
              </w:rPr>
              <w:t>三、工具版本号：陕西省广联达计价软件</w:t>
            </w:r>
            <w:r>
              <w:rPr>
                <w:rFonts w:ascii="仿宋_GB2312" w:hAnsi="仿宋_GB2312" w:cs="仿宋_GB2312" w:eastAsia="仿宋_GB2312"/>
                <w:sz w:val="24"/>
                <w:b/>
              </w:rPr>
              <w:t>GBQ6.4100.23.122。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1、工期：30天 2、付款方式：工程验收合格且出具正式项目竣工结算审计报告后，一次性支付审定造价的97%，留审定造价3%作为质保金，质保期满后无质量问题一次性无息退还；（付款方式以此条为准） 3、质保期：2年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供应商具备消防设施工程专业承包二级及以上资质，具有有效的国家建设行政主管部门颁发的安全生产许可证。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供应商拟派项目经理具有机电工程专业二级及以上注册建造师资格，具备有效的安全生产考核合格证书（建安B证），且无不良信用记录，无在建工程（提供承诺书）。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质量管理体系完善，技术组织措施合理、可行计7分；质量管理体系较完善、技术组织措施一般，不够明确计4分；质量管理体系较为可行、针对性不强、内容简单计1分；未提供不得分。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安全管理体系健全，保证措施合理、可行计7分；安全管理体系较健全，保障措施一般计4分；安全管理体系较为可行、针对性不强、内容简单计1分；未提供不得分。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各项措施合理、保障有力计7分；各项措施较健全，针对性一般计4分；各项措施较为可行、针对性不强、内容简单计1分；未提供不得分。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具有明确的施工进度表，进度计划合理、保证措施有力计7分；施工进度计划较清晰、措施一般计4分；施工进度计划不清晰、措施简单计1分；未提供不得分。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施工现场机械配备和材料投入计划合理，符合施工实际需求计7分；施工机械配备和材料投入计划一般，基本符合施工实际需求的计4分；机械、设备安排简单计1分；未提供不得分。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提供供应商2022年7月至磋商截止日期前类似项目业绩，每提供1个得1分，满分5分(以合同协议书或中标（成交）通知书内容为准）。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