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版本号：SXLZ-2025-15420250729001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SXLZ-2025-154</w:t>
      </w:r>
      <w:r>
        <w:br/>
      </w:r>
      <w:r>
        <w:br/>
      </w:r>
      <w:r>
        <w:br/>
      </w:r>
    </w:p>
    <w:p>
      <w:pPr>
        <w:pStyle w:val="null3"/>
        <w:jc w:val="center"/>
        <w:outlineLvl w:val="2"/>
      </w:pPr>
      <w:r>
        <w:rPr>
          <w:rFonts w:ascii="仿宋_GB2312" w:hAnsi="仿宋_GB2312" w:cs="仿宋_GB2312" w:eastAsia="仿宋_GB2312"/>
          <w:sz w:val="28"/>
          <w:b/>
        </w:rPr>
        <w:t>西安市雁塔区文化和旅游体育局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西安市雁塔区文化和旅游体育局</w:t>
      </w:r>
      <w:r>
        <w:rPr>
          <w:rFonts w:ascii="仿宋_GB2312" w:hAnsi="仿宋_GB2312" w:cs="仿宋_GB2312" w:eastAsia="仿宋_GB2312"/>
        </w:rPr>
        <w:t>委托，拟对</w:t>
      </w:r>
      <w:r>
        <w:rPr>
          <w:rFonts w:ascii="仿宋_GB2312" w:hAnsi="仿宋_GB2312" w:cs="仿宋_GB2312" w:eastAsia="仿宋_GB2312"/>
        </w:rPr>
        <w:t>2025年全民健身设施建设项目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2025年全民健身设施建设项目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拟实施全民健身路径、群众健身房、多功能运动场等全民健身设施（具体详见竞争性谈判文件）。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采购包1（2025年全民健身设施建设项目（一包：全民健身路径））：属于专门面向中小企业采购。</w:t>
      </w:r>
    </w:p>
    <w:p>
      <w:pPr>
        <w:pStyle w:val="null3"/>
      </w:pPr>
      <w:r>
        <w:rPr>
          <w:rFonts w:ascii="仿宋_GB2312" w:hAnsi="仿宋_GB2312" w:cs="仿宋_GB2312" w:eastAsia="仿宋_GB2312"/>
        </w:rPr>
        <w:t>采购包2（2025年全民健身设施建设项目（二包：室内健身房））：属于专门面向中小企业采购。</w:t>
      </w:r>
    </w:p>
    <w:p>
      <w:pPr>
        <w:pStyle w:val="null3"/>
      </w:pPr>
      <w:r>
        <w:rPr>
          <w:rFonts w:ascii="仿宋_GB2312" w:hAnsi="仿宋_GB2312" w:cs="仿宋_GB2312" w:eastAsia="仿宋_GB2312"/>
        </w:rPr>
        <w:t>采购包3（2025年全民健身设施建设项目（三包：多功能运动场））：属于专门面向中小企业采购。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5、设备和专业技术能力：提供具有履行本合同所必需的设备和专业技术能力的书面声明。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查询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8、法定代表人证明或授权委托书：法定代表人直接参加投标的，须出具法定代表人身份证明书;法定代表人授权代表参加投标的，须出具法定代表人授权委托书 单位负责人为同一人或者存在直接控股、管理关系的不同供应商，不得参加同一合同项下的政府采购活动。</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029-88414699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采购包1：270,000.00元</w:t>
            </w:r>
          </w:p>
          <w:p>
            <w:pPr>
              <w:pStyle w:val="null3"/>
            </w:pPr>
            <w:r>
              <w:rPr>
                <w:rFonts w:ascii="仿宋_GB2312" w:hAnsi="仿宋_GB2312" w:cs="仿宋_GB2312" w:eastAsia="仿宋_GB2312"/>
              </w:rPr>
              <w:t>采购包2：225,000.00元</w:t>
            </w:r>
          </w:p>
          <w:p>
            <w:pPr>
              <w:pStyle w:val="null3"/>
            </w:pPr>
            <w:r>
              <w:rPr>
                <w:rFonts w:ascii="仿宋_GB2312" w:hAnsi="仿宋_GB2312" w:cs="仿宋_GB2312" w:eastAsia="仿宋_GB2312"/>
              </w:rPr>
              <w:t>采购包3：250,000.00元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与采购单位协商，根据各包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代理服务费不足5000元按5000元计取，由各包成交方向陕西龙泽项目咨询管理有限公司分别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西安市雁塔区文化和旅游体育局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陕西龙泽项目咨询管理有限公司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按照合同及相关规定执行。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按照合同及相关规定执行。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按照合同及相关规定执行。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拟实施全民健身路径、群众健身房、多功能运动场等全民健身设施（具体详见竞争性谈判文件）。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全民健身路径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室内健身房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多功能运动场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标的名称：全民健身路径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一、建设项目及标准</w:t>
            </w:r>
          </w:p>
          <w:p>
            <w:pPr>
              <w:pStyle w:val="null3"/>
              <w:ind w:firstLine="420"/>
              <w:jc w:val="both"/>
            </w:pPr>
            <w:r>
              <w:rPr>
                <w:rFonts w:ascii="仿宋_GB2312" w:hAnsi="仿宋_GB2312" w:cs="仿宋_GB2312" w:eastAsia="仿宋_GB2312"/>
              </w:rPr>
              <w:t>计划实施B类型18个，每个项目安装健身路径器材6件。</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二、实施方式</w:t>
            </w:r>
          </w:p>
          <w:p>
            <w:pPr>
              <w:pStyle w:val="null3"/>
              <w:ind w:firstLine="420"/>
              <w:jc w:val="both"/>
            </w:pPr>
            <w:r>
              <w:rPr>
                <w:rFonts w:ascii="仿宋_GB2312" w:hAnsi="仿宋_GB2312" w:cs="仿宋_GB2312" w:eastAsia="仿宋_GB2312"/>
              </w:rPr>
              <w:t>全民健身惠民工程各项目建设拟按照“集中采购安装、统一验收交接”的形式进行。由区文旅局统一实施采购</w:t>
            </w:r>
            <w:r>
              <w:rPr>
                <w:rFonts w:ascii="仿宋_GB2312" w:hAnsi="仿宋_GB2312" w:cs="仿宋_GB2312" w:eastAsia="仿宋_GB2312"/>
              </w:rPr>
              <w:t>；</w:t>
            </w:r>
            <w:r>
              <w:rPr>
                <w:rFonts w:ascii="仿宋_GB2312" w:hAnsi="仿宋_GB2312" w:cs="仿宋_GB2312" w:eastAsia="仿宋_GB2312"/>
              </w:rPr>
              <w:t>区、街道两级体育部门监督指导各中标厂家，按合同要求完成器材安装工作</w:t>
            </w:r>
            <w:r>
              <w:rPr>
                <w:rFonts w:ascii="仿宋_GB2312" w:hAnsi="仿宋_GB2312" w:cs="仿宋_GB2312" w:eastAsia="仿宋_GB2312"/>
              </w:rPr>
              <w:t>；</w:t>
            </w:r>
            <w:r>
              <w:rPr>
                <w:rFonts w:ascii="仿宋_GB2312" w:hAnsi="仿宋_GB2312" w:cs="仿宋_GB2312" w:eastAsia="仿宋_GB2312"/>
              </w:rPr>
              <w:t>市体育局组织第三方机构或专家组，在区级自查验收的基础上，实施项目检查工作</w:t>
            </w:r>
            <w:r>
              <w:rPr>
                <w:rFonts w:ascii="仿宋_GB2312" w:hAnsi="仿宋_GB2312" w:cs="仿宋_GB2312" w:eastAsia="仿宋_GB2312"/>
              </w:rPr>
              <w:t>；</w:t>
            </w:r>
            <w:r>
              <w:rPr>
                <w:rFonts w:ascii="仿宋_GB2312" w:hAnsi="仿宋_GB2312" w:cs="仿宋_GB2312" w:eastAsia="仿宋_GB2312"/>
              </w:rPr>
              <w:t>同步做好固定资产的交接转移工作。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三、B类型配置清单</w:t>
            </w:r>
          </w:p>
          <w:tbl>
            <w:tblPr>
              <w:tblBorders>
                <w:top w:val="none" w:color="000000" w:sz="4"/>
                <w:left w:val="none" w:color="000000" w:sz="4"/>
                <w:bottom w:val="none" w:color="000000" w:sz="4"/>
                <w:right w:val="none" w:color="000000" w:sz="4"/>
                <w:insideH w:val="none"/>
                <w:insideV w:val="none"/>
              </w:tblBorders>
            </w:tblPr>
            <w:tblGrid>
              <w:gridCol w:w="414"/>
              <w:gridCol w:w="1060"/>
              <w:gridCol w:w="517"/>
              <w:gridCol w:w="562"/>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器材名称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室外乒乓球台</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椭圆机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三位扭腰器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双杠（含悬浮地板）</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腰背按摩器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47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    计</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四、质量要求</w:t>
            </w:r>
          </w:p>
          <w:p>
            <w:pPr>
              <w:pStyle w:val="null3"/>
              <w:ind w:firstLine="420"/>
              <w:jc w:val="both"/>
            </w:pPr>
            <w:r>
              <w:rPr>
                <w:rFonts w:ascii="仿宋_GB2312" w:hAnsi="仿宋_GB2312" w:cs="仿宋_GB2312" w:eastAsia="仿宋_GB2312"/>
              </w:rPr>
              <w:t>1、</w:t>
            </w:r>
            <w:r>
              <w:rPr>
                <w:rFonts w:ascii="仿宋_GB2312" w:hAnsi="仿宋_GB2312" w:cs="仿宋_GB2312" w:eastAsia="仿宋_GB2312"/>
              </w:rPr>
              <w:t>所有器材</w:t>
            </w:r>
            <w:r>
              <w:rPr>
                <w:rFonts w:ascii="仿宋_GB2312" w:hAnsi="仿宋_GB2312" w:cs="仿宋_GB2312" w:eastAsia="仿宋_GB2312"/>
              </w:rPr>
              <w:t>符合</w:t>
            </w:r>
            <w:r>
              <w:rPr>
                <w:rFonts w:ascii="仿宋_GB2312" w:hAnsi="仿宋_GB2312" w:cs="仿宋_GB2312" w:eastAsia="仿宋_GB2312"/>
              </w:rPr>
              <w:t>GB19272-2011《室外健身器材的安全通用要求》</w:t>
            </w:r>
            <w:r>
              <w:rPr>
                <w:rFonts w:ascii="仿宋_GB2312" w:hAnsi="仿宋_GB2312" w:cs="仿宋_GB2312" w:eastAsia="仿宋_GB2312"/>
              </w:rPr>
              <w:t>并持有国家认证认可监督管理委员会批准具备体育用品认证资格的第三方认证机构依据</w:t>
            </w:r>
            <w:r>
              <w:rPr>
                <w:rFonts w:ascii="仿宋_GB2312" w:hAnsi="仿宋_GB2312" w:cs="仿宋_GB2312" w:eastAsia="仿宋_GB2312"/>
              </w:rPr>
              <w:t>GB19272-2011</w:t>
            </w:r>
            <w:r>
              <w:rPr>
                <w:rFonts w:ascii="仿宋_GB2312" w:hAnsi="仿宋_GB2312" w:cs="仿宋_GB2312" w:eastAsia="仿宋_GB2312"/>
              </w:rPr>
              <w:t>标准出具的认证证书。</w:t>
            </w:r>
          </w:p>
          <w:p>
            <w:pPr>
              <w:pStyle w:val="null3"/>
              <w:ind w:firstLine="420"/>
              <w:jc w:val="both"/>
            </w:pPr>
            <w:r>
              <w:rPr>
                <w:rFonts w:ascii="仿宋_GB2312" w:hAnsi="仿宋_GB2312" w:cs="仿宋_GB2312" w:eastAsia="仿宋_GB2312"/>
              </w:rPr>
              <w:t>2、</w:t>
            </w:r>
            <w:r>
              <w:rPr>
                <w:rFonts w:ascii="仿宋_GB2312" w:hAnsi="仿宋_GB2312" w:cs="仿宋_GB2312" w:eastAsia="仿宋_GB2312"/>
              </w:rPr>
              <w:t>质保期8年</w:t>
            </w:r>
            <w:r>
              <w:rPr>
                <w:rFonts w:ascii="仿宋_GB2312" w:hAnsi="仿宋_GB2312" w:cs="仿宋_GB2312" w:eastAsia="仿宋_GB2312"/>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标的名称：室内健身房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建设项目及标准</w:t>
            </w:r>
          </w:p>
          <w:p>
            <w:pPr>
              <w:pStyle w:val="null3"/>
              <w:ind w:firstLine="420"/>
              <w:jc w:val="both"/>
            </w:pPr>
            <w:r>
              <w:rPr>
                <w:rFonts w:ascii="仿宋_GB2312" w:hAnsi="仿宋_GB2312" w:cs="仿宋_GB2312" w:eastAsia="仿宋_GB2312"/>
              </w:rPr>
              <w:t>计划实施A、B两种类型共2个，其中，A类型1个，每个项目配置健身器材14件；B类型1个，每个项目配置室内健身器材6件。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二、实施方式</w:t>
            </w:r>
          </w:p>
          <w:p>
            <w:pPr>
              <w:pStyle w:val="null3"/>
              <w:ind w:firstLine="420"/>
              <w:jc w:val="both"/>
            </w:pPr>
            <w:r>
              <w:rPr>
                <w:rFonts w:ascii="仿宋_GB2312" w:hAnsi="仿宋_GB2312" w:cs="仿宋_GB2312" w:eastAsia="仿宋_GB2312"/>
              </w:rPr>
              <w:t>全民健身惠民工程各项目建设拟按照“集中采购安装、统一验收交接”的形式进行。由区文旅局统一实施采购</w:t>
            </w:r>
            <w:r>
              <w:rPr>
                <w:rFonts w:ascii="仿宋_GB2312" w:hAnsi="仿宋_GB2312" w:cs="仿宋_GB2312" w:eastAsia="仿宋_GB2312"/>
              </w:rPr>
              <w:t>；</w:t>
            </w:r>
            <w:r>
              <w:rPr>
                <w:rFonts w:ascii="仿宋_GB2312" w:hAnsi="仿宋_GB2312" w:cs="仿宋_GB2312" w:eastAsia="仿宋_GB2312"/>
              </w:rPr>
              <w:t>区、街道两级体育部门监督指导各中标厂家，按合同要求完成器材安装工作</w:t>
            </w:r>
            <w:r>
              <w:rPr>
                <w:rFonts w:ascii="仿宋_GB2312" w:hAnsi="仿宋_GB2312" w:cs="仿宋_GB2312" w:eastAsia="仿宋_GB2312"/>
              </w:rPr>
              <w:t>；</w:t>
            </w:r>
            <w:r>
              <w:rPr>
                <w:rFonts w:ascii="仿宋_GB2312" w:hAnsi="仿宋_GB2312" w:cs="仿宋_GB2312" w:eastAsia="仿宋_GB2312"/>
              </w:rPr>
              <w:t>市体育局组织第三方机构或专家组，在区级自查验收的基础上，实施项目检查工作</w:t>
            </w:r>
            <w:r>
              <w:rPr>
                <w:rFonts w:ascii="仿宋_GB2312" w:hAnsi="仿宋_GB2312" w:cs="仿宋_GB2312" w:eastAsia="仿宋_GB2312"/>
              </w:rPr>
              <w:t>；</w:t>
            </w:r>
            <w:r>
              <w:rPr>
                <w:rFonts w:ascii="仿宋_GB2312" w:hAnsi="仿宋_GB2312" w:cs="仿宋_GB2312" w:eastAsia="仿宋_GB2312"/>
              </w:rPr>
              <w:t>同步做好固定资产的交接转移工作。</w:t>
            </w:r>
          </w:p>
          <w:p>
            <w:pPr>
              <w:pStyle w:val="null3"/>
              <w:ind w:firstLine="420"/>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三、A类型配置清单</w:t>
            </w:r>
          </w:p>
          <w:tbl>
            <w:tblPr>
              <w:tblBorders>
                <w:top w:val="none" w:color="000000" w:sz="4"/>
                <w:left w:val="none" w:color="000000" w:sz="4"/>
                <w:bottom w:val="none" w:color="000000" w:sz="4"/>
                <w:right w:val="none" w:color="000000" w:sz="4"/>
                <w:insideH w:val="none"/>
                <w:insideV w:val="none"/>
              </w:tblBorders>
            </w:tblPr>
            <w:tblGrid>
              <w:gridCol w:w="353"/>
              <w:gridCol w:w="204"/>
              <w:gridCol w:w="1990"/>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技术标准</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电动跑步机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尺寸≥1956×910×1520mm，跑步区域尺寸≥500×1500mm；功率≥2.0HP 功率交流电机，超低噪音、运行平稳；有显示屏；外观设计时尚美观，防滑性能好；有缓冲系统；最大承重需≥150kg。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椭圆车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1600mm×560mm×1100mm；转动轴承运转安静、流畅；传动链条需为高强度链条，传动平稳；有多功能控制面板（至少能够显示热量、时间、速度、转速、距离、心率）；把手可上下、前后、左右调节；最大限重≥120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划船器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最大承重≥150kg，传动方式：链条传动，阻力系统：风阻，阻力等级：无级调节，显示窗口：5英寸LCD屏幕，传感器：霍尔传感器，显示信息：时间、配速/平均配速、桨频/平均桨频、距离、热量、功率/平均功率、心率/平均心率，尺寸≥2340×560×1050(mm)。</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智能交互沙袋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尺寸≥1650×1290×2150mm，电压要求：220V/10A，功率：18V*5A=90W，触摸屏规格：10英寸触摸屏，柔性交互屏规格：沙袋内置400mm×500mm柔性交互屏，程序：闯关、训练、无尽、挑战。净重：125kg。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三站综合机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尺寸≥1872×1626×2200（mm）；重量≥222kg；管材符合《GB17498.2-2008 固定式健身器材》标准；不锈钢护罩，美观安全；钢索：国产φ4.8mm钢索，增加产品的安全性和耐用性；滑轮：滑轮采用健身房器材的专用轴承滑轮，使用强度和耐磨性极大加强；至少满足十种锻炼方式。</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多功能可调式练习椅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尺寸≥1500×650×500(mm)；管材符合《GB 17498.2-2008 固定式健身器材》标准；座靠垫采用自动拖动调节结构。</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哑铃组套</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配置不少于10副的哑铃，哑铃重量不低于260公斤，配皮面条凳一个。</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垂直提膝及引体上升训练架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尺寸≥1300×600×2000（mm）；管材符合《GB17498.2-2008 固定式健身器材》标准；重量不低于75kg。</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乒乓球台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台面尺寸≥2740×1525（mm），台高：760mm，弹性：220-250（mm），弹性均匀度：≤10度，台面光泽度：≤10度，台面摩擦系数：≤0.4，球台稳定性：≤7，台面厚度：25mm。</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可调式双滑轮多功能训练器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1.管材采用方钢管材或圆管，管壁厚度≥2.5mm；</w:t>
                  </w:r>
                </w:p>
                <w:p>
                  <w:pPr>
                    <w:pStyle w:val="null3"/>
                    <w:jc w:val="both"/>
                  </w:pPr>
                  <w:r>
                    <w:rPr>
                      <w:rFonts w:ascii="仿宋_GB2312" w:hAnsi="仿宋_GB2312" w:cs="仿宋_GB2312" w:eastAsia="仿宋_GB2312"/>
                      <w:sz w:val="19"/>
                    </w:rPr>
                    <w:t>2.最大训练载荷：≥90kg×2；</w:t>
                  </w:r>
                </w:p>
                <w:p>
                  <w:pPr>
                    <w:pStyle w:val="null3"/>
                    <w:jc w:val="both"/>
                  </w:pPr>
                  <w:r>
                    <w:rPr>
                      <w:rFonts w:ascii="仿宋_GB2312" w:hAnsi="仿宋_GB2312" w:cs="仿宋_GB2312" w:eastAsia="仿宋_GB2312"/>
                      <w:sz w:val="19"/>
                    </w:rPr>
                    <w:t>3.钢索：须采用≥φ4.8mm钢索，增加产品的安全性和耐用性；</w:t>
                  </w:r>
                </w:p>
                <w:p>
                  <w:pPr>
                    <w:pStyle w:val="null3"/>
                    <w:jc w:val="both"/>
                  </w:pPr>
                  <w:r>
                    <w:rPr>
                      <w:rFonts w:ascii="仿宋_GB2312" w:hAnsi="仿宋_GB2312" w:cs="仿宋_GB2312" w:eastAsia="仿宋_GB2312"/>
                      <w:sz w:val="19"/>
                    </w:rPr>
                    <w:t>4.主架具有上下两处收纳架，可收纳更多附件，为进阶用户提供多种动作选择；</w:t>
                  </w:r>
                </w:p>
                <w:p>
                  <w:pPr>
                    <w:pStyle w:val="null3"/>
                    <w:jc w:val="both"/>
                  </w:pPr>
                  <w:r>
                    <w:rPr>
                      <w:rFonts w:ascii="仿宋_GB2312" w:hAnsi="仿宋_GB2312" w:cs="仿宋_GB2312" w:eastAsia="仿宋_GB2312"/>
                      <w:sz w:val="19"/>
                    </w:rPr>
                    <w:t>5.动态组件：所有滑轮、绳索等动态组件均要配备防护罩，有效避免对使用者及周围人群造成伤害；</w:t>
                  </w:r>
                </w:p>
                <w:p>
                  <w:pPr>
                    <w:pStyle w:val="null3"/>
                    <w:jc w:val="both"/>
                  </w:pPr>
                  <w:r>
                    <w:rPr>
                      <w:rFonts w:ascii="仿宋_GB2312" w:hAnsi="仿宋_GB2312" w:cs="仿宋_GB2312" w:eastAsia="仿宋_GB2312"/>
                      <w:sz w:val="19"/>
                    </w:rPr>
                    <w:t>6.护罩：不锈钢护罩；</w:t>
                  </w:r>
                </w:p>
                <w:p>
                  <w:pPr>
                    <w:pStyle w:val="null3"/>
                    <w:jc w:val="both"/>
                  </w:pPr>
                  <w:r>
                    <w:rPr>
                      <w:rFonts w:ascii="仿宋_GB2312" w:hAnsi="仿宋_GB2312" w:cs="仿宋_GB2312" w:eastAsia="仿宋_GB2312"/>
                      <w:sz w:val="19"/>
                    </w:rPr>
                    <w:t>7.产品尺寸：≥1600×1100×2100(mm)；</w:t>
                  </w:r>
                </w:p>
                <w:p>
                  <w:pPr>
                    <w:pStyle w:val="null3"/>
                    <w:jc w:val="both"/>
                  </w:pPr>
                  <w:r>
                    <w:rPr>
                      <w:rFonts w:ascii="仿宋_GB2312" w:hAnsi="仿宋_GB2312" w:cs="仿宋_GB2312" w:eastAsia="仿宋_GB2312"/>
                      <w:sz w:val="19"/>
                    </w:rPr>
                    <w:t>8.锻炼肌肉：锻炼内容可涉及胸、肩、背、腿等人体各大肌肉群；</w:t>
                  </w:r>
                </w:p>
                <w:p>
                  <w:pPr>
                    <w:pStyle w:val="null3"/>
                    <w:jc w:val="both"/>
                  </w:pPr>
                  <w:r>
                    <w:rPr>
                      <w:rFonts w:ascii="仿宋_GB2312" w:hAnsi="仿宋_GB2312" w:cs="仿宋_GB2312" w:eastAsia="仿宋_GB2312"/>
                      <w:sz w:val="19"/>
                    </w:rPr>
                    <w:t>9.产品符合GB17498-2008国标要求，并提供国家体育用品质量监督检验中心检验合格的检验报告。</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室内围棋桌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台面尺寸≥600×600mm，台高：500mm，实木材质，配两把实木椅子。</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场地地胶</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120</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厚度≥4.5mm；产品颜色：红色、灰色；耐磨层：不小于1.3mmPVC耐磨层；缓冲层厚度：不小于3mm。本项数量单位为平方米。</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尺寸40×60cm；铝钢材质；不锈钢烤漆丝印；装订在室外墙面；具体内容另行提供。</w:t>
                  </w:r>
                </w:p>
              </w:tc>
            </w:tr>
          </w:tbl>
          <w:tbl>
            <w:tblPr>
              <w:tblBorders>
                <w:top w:val="none" w:color="000000" w:sz="4"/>
                <w:left w:val="none" w:color="000000" w:sz="4"/>
                <w:bottom w:val="none" w:color="000000" w:sz="4"/>
                <w:right w:val="none" w:color="000000" w:sz="4"/>
                <w:insideH w:val="none"/>
                <w:insideV w:val="none"/>
              </w:tblBorders>
            </w:tblPr>
            <w:tblGrid>
              <w:gridCol w:w="1990"/>
            </w:tblGrid>
            <w:tr>
              <w:tc>
                <w:tcPr>
                  <w:tcW w:type="dxa" w:w="1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四、B类型配置清单</w:t>
            </w:r>
          </w:p>
          <w:tbl>
            <w:tblPr>
              <w:tblBorders>
                <w:top w:val="none" w:color="000000" w:sz="4"/>
                <w:left w:val="none" w:color="000000" w:sz="4"/>
                <w:bottom w:val="none" w:color="000000" w:sz="4"/>
                <w:right w:val="none" w:color="000000" w:sz="4"/>
                <w:insideH w:val="none"/>
                <w:insideV w:val="none"/>
              </w:tblBorders>
            </w:tblPr>
            <w:tblGrid>
              <w:gridCol w:w="356"/>
              <w:gridCol w:w="211"/>
              <w:gridCol w:w="1975"/>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器材</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技术标准</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电动跑步机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产品尺寸≥1956×910×1520mm，跑步区域尺寸≥500×1500mm；功率≥2.0HP  功率交流电机，超低噪音、运行平稳；有显示屏；外观设计时尚美观，防滑性能好；有缓冲系统；最大承重需≥150kg。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椭圆车</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尺寸≥1600mm×560mm×1100mm；转动轴承运转安静、流畅； 传动链条需为高强度链条，传动平稳；有多功能控制面板（至少能够显示热量、时间、速度、转速、距离、心率）； 把手可上下、前后、左右调节；最大限重≥120kg。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智能交互沙袋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尺寸≥1650×1290×2150mm，电压要求：220V/10A，功率：18V*5A=90W，触摸屏规格：10英寸触摸屏，柔性交互屏规格：沙袋内置 400mm×500mm柔性交互屏，程序：闯关、训 练、无尽、挑战。净重：125kg。</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三站综合机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尺寸≥1872×1626×2200（mm）；重量≥222kg； 管材符合《GB 17498.2-2008 固定式健身器材》标准；不锈钢护罩，美观安全；钢索：国产φ4.8mm钢索，增加产品的安全性和耐用性；滑轮：滑轮采用健身房器材的专用轴承滑轮，使用强度和耐磨性极大加强；至少满足十种锻炼方式。</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告示牌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尺寸40×60cm；铝钢材质；不锈钢烤漆丝印；装订在室外墙面；具体内容另行提供。</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场地地胶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厚度不小于4.5mm，产品颜色：红色、灰色，耐磨层：不小于1.3mmPVC耐</w:t>
                  </w:r>
                  <w:r>
                    <w:rPr>
                      <w:rFonts w:ascii="仿宋_GB2312" w:hAnsi="仿宋_GB2312" w:cs="仿宋_GB2312" w:eastAsia="仿宋_GB2312"/>
                      <w:sz w:val="19"/>
                    </w:rPr>
                    <w:t>磨层；缓冲层厚度：不小于3mm。</w:t>
                  </w:r>
                </w:p>
              </w:tc>
            </w:tr>
          </w:tbl>
          <w:tbl>
            <w:tblPr>
              <w:tblBorders>
                <w:top w:val="none" w:color="000000" w:sz="4"/>
                <w:left w:val="none" w:color="000000" w:sz="4"/>
                <w:bottom w:val="none" w:color="000000" w:sz="4"/>
                <w:right w:val="none" w:color="000000" w:sz="4"/>
                <w:insideH w:val="none"/>
                <w:insideV w:val="none"/>
              </w:tblBorders>
            </w:tblPr>
            <w:tblGrid>
              <w:gridCol w:w="1975"/>
            </w:tblGrid>
            <w:tr>
              <w:tc>
                <w:tcPr>
                  <w:tcW w:type="dxa" w:w="1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五、质量要求</w:t>
            </w:r>
          </w:p>
          <w:p>
            <w:pPr>
              <w:pStyle w:val="null3"/>
              <w:ind w:firstLine="420"/>
              <w:jc w:val="both"/>
            </w:pPr>
            <w:r>
              <w:rPr>
                <w:rFonts w:ascii="仿宋_GB2312" w:hAnsi="仿宋_GB2312" w:cs="仿宋_GB2312" w:eastAsia="仿宋_GB2312"/>
              </w:rPr>
              <w:t>质保期不少于8年。</w:t>
            </w:r>
          </w:p>
          <w:p>
            <w:pPr>
              <w:pStyle w:val="null3"/>
              <w:ind w:firstLine="420"/>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标的名称：多功能运动场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建设项目及标准</w:t>
            </w:r>
          </w:p>
          <w:p>
            <w:pPr>
              <w:pStyle w:val="null3"/>
              <w:ind w:firstLine="420"/>
              <w:jc w:val="both"/>
            </w:pPr>
            <w:r>
              <w:rPr>
                <w:rFonts w:ascii="仿宋_GB2312" w:hAnsi="仿宋_GB2312" w:cs="仿宋_GB2312" w:eastAsia="仿宋_GB2312"/>
              </w:rPr>
              <w:t>计划实施笼式足球场1个。</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二、实施方式</w:t>
            </w:r>
          </w:p>
          <w:p>
            <w:pPr>
              <w:pStyle w:val="null3"/>
              <w:ind w:firstLine="420"/>
              <w:jc w:val="both"/>
            </w:pPr>
            <w:r>
              <w:rPr>
                <w:rFonts w:ascii="仿宋_GB2312" w:hAnsi="仿宋_GB2312" w:cs="仿宋_GB2312" w:eastAsia="仿宋_GB2312"/>
              </w:rPr>
              <w:t>全民健身惠民工程各项目建设拟按照“集中采购安装、统一验收交接”的形式进行。由区文旅局统一实施采购</w:t>
            </w:r>
            <w:r>
              <w:rPr>
                <w:rFonts w:ascii="仿宋_GB2312" w:hAnsi="仿宋_GB2312" w:cs="仿宋_GB2312" w:eastAsia="仿宋_GB2312"/>
              </w:rPr>
              <w:t>；</w:t>
            </w:r>
            <w:r>
              <w:rPr>
                <w:rFonts w:ascii="仿宋_GB2312" w:hAnsi="仿宋_GB2312" w:cs="仿宋_GB2312" w:eastAsia="仿宋_GB2312"/>
              </w:rPr>
              <w:t>区、街道两级体育部门监督指导各中标厂家，按合同要求完成器材安装工作</w:t>
            </w:r>
            <w:r>
              <w:rPr>
                <w:rFonts w:ascii="仿宋_GB2312" w:hAnsi="仿宋_GB2312" w:cs="仿宋_GB2312" w:eastAsia="仿宋_GB2312"/>
              </w:rPr>
              <w:t>；</w:t>
            </w:r>
            <w:r>
              <w:rPr>
                <w:rFonts w:ascii="仿宋_GB2312" w:hAnsi="仿宋_GB2312" w:cs="仿宋_GB2312" w:eastAsia="仿宋_GB2312"/>
              </w:rPr>
              <w:t>市体育局组织第三方机构或专家组，在区级自查验收的基础上，实施项目检查工作</w:t>
            </w:r>
            <w:r>
              <w:rPr>
                <w:rFonts w:ascii="仿宋_GB2312" w:hAnsi="仿宋_GB2312" w:cs="仿宋_GB2312" w:eastAsia="仿宋_GB2312"/>
              </w:rPr>
              <w:t>；</w:t>
            </w:r>
            <w:r>
              <w:rPr>
                <w:rFonts w:ascii="仿宋_GB2312" w:hAnsi="仿宋_GB2312" w:cs="仿宋_GB2312" w:eastAsia="仿宋_GB2312"/>
              </w:rPr>
              <w:t>同步做好固定资产的交接转移工作。</w:t>
            </w:r>
          </w:p>
          <w:p>
            <w:pPr>
              <w:pStyle w:val="null3"/>
              <w:ind w:firstLine="420"/>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三、技术标准</w:t>
            </w:r>
          </w:p>
          <w:p>
            <w:pPr>
              <w:pStyle w:val="null3"/>
              <w:ind w:firstLine="420"/>
              <w:jc w:val="both"/>
            </w:pPr>
            <w:r>
              <w:rPr>
                <w:rFonts w:ascii="仿宋_GB2312" w:hAnsi="仿宋_GB2312" w:cs="仿宋_GB2312" w:eastAsia="仿宋_GB2312"/>
              </w:rPr>
              <w:t>1.场地尺寸：整体占地面积28米×18米，划线面积25米×15米。</w:t>
            </w:r>
          </w:p>
          <w:p>
            <w:pPr>
              <w:pStyle w:val="null3"/>
              <w:ind w:firstLine="420"/>
              <w:jc w:val="both"/>
            </w:pPr>
            <w:r>
              <w:rPr>
                <w:rFonts w:ascii="仿宋_GB2312" w:hAnsi="仿宋_GB2312" w:cs="仿宋_GB2312" w:eastAsia="仿宋_GB2312"/>
              </w:rPr>
              <w:t>2.人造草坪：球场地面铺设田园绿和橄榄绿双色人造草皮，草高50mm±5%mm,密度不小于10500针/平方米。透水性、抗紫外线性能、色牢度、阻燃性等需满足GB/T20394-2013标准。人造草坪面层内需填充石英砂（20-40目，每平方不少于40KG）、环保橡胶颗粒（粒径3mm-4mm，每平方不少于8KG）。</w:t>
            </w:r>
          </w:p>
          <w:p>
            <w:pPr>
              <w:pStyle w:val="null3"/>
              <w:ind w:firstLine="420"/>
              <w:jc w:val="both"/>
            </w:pPr>
            <w:r>
              <w:rPr>
                <w:rFonts w:ascii="仿宋_GB2312" w:hAnsi="仿宋_GB2312" w:cs="仿宋_GB2312" w:eastAsia="仿宋_GB2312"/>
              </w:rPr>
              <w:t>3.围网：围网颜色为绿色，设置在边线、端线1.5米以外，高度不小于4.5米，风载荷标准值不小于0.35KN/平米。围网表面PVC包塑，丝径Ø4mm,网孔不大于50mm×50mm；栅栏网片的纵横连接件应采用不小于∮6mm的圆钢，栅栏网片圆钢间距小于70mm，连接结构稳定；围网主立柱采用直径不小于76mm×3mm或等强度管材，间距不大于3米，并采用软质保护套包裹。立柱埋入地下的深度应不小于400 mm（特殊地层具体分析）；设置网门2个，网门≥1.0米。在每个网门周边明显位置悬挂标识牌，尺寸为80cm×60cm，标牌内容另行确定；易接触的管材末端无锐角，螺钉、螺母等紧固件需做防锈、防松处理。</w:t>
            </w:r>
          </w:p>
          <w:p>
            <w:pPr>
              <w:pStyle w:val="null3"/>
              <w:ind w:firstLine="420"/>
              <w:jc w:val="both"/>
            </w:pPr>
            <w:r>
              <w:rPr>
                <w:rFonts w:ascii="仿宋_GB2312" w:hAnsi="仿宋_GB2312" w:cs="仿宋_GB2312" w:eastAsia="仿宋_GB2312"/>
              </w:rPr>
              <w:t>4.天网：天网为绿色尼龙网，聚乙烯材质，股数30股。</w:t>
            </w:r>
          </w:p>
          <w:p>
            <w:pPr>
              <w:pStyle w:val="null3"/>
              <w:ind w:firstLine="420"/>
              <w:jc w:val="both"/>
            </w:pPr>
            <w:r>
              <w:rPr>
                <w:rFonts w:ascii="仿宋_GB2312" w:hAnsi="仿宋_GB2312" w:cs="仿宋_GB2312" w:eastAsia="仿宋_GB2312"/>
              </w:rPr>
              <w:t>5.球门：采用5人制足球比赛专用、可移动矩形足球门（3号足球门），球门内口规格按宽×高×底深表示为：3000mm×2000mm×1500mm；球门立杆和横梁采用直径不小于76mm×3mm或等强度管材，球门横梁能承受2700N的静负荷；球门组装完成后，立杆与地面、横梁夹角均为90度，连接件周边处理圆滑，无棱角，表面静电喷涂；配置球网1套。</w:t>
            </w:r>
          </w:p>
          <w:p>
            <w:pPr>
              <w:pStyle w:val="null3"/>
              <w:ind w:firstLine="420"/>
              <w:jc w:val="both"/>
            </w:pPr>
            <w:r>
              <w:rPr>
                <w:rFonts w:ascii="仿宋_GB2312" w:hAnsi="仿宋_GB2312" w:cs="仿宋_GB2312" w:eastAsia="仿宋_GB2312"/>
              </w:rPr>
              <w:t>6.灯光：采用太阳能灯光，灯杆应设置在边线、端线1.5米以外，或利用球场边围网立柱架设灯具6组；灯杆高度不低于6米，场地照度不低于150勒克斯。</w:t>
            </w:r>
          </w:p>
          <w:p>
            <w:pPr>
              <w:pStyle w:val="null3"/>
              <w:ind w:firstLine="420"/>
              <w:jc w:val="both"/>
            </w:pPr>
            <w:r>
              <w:rPr>
                <w:rFonts w:ascii="仿宋_GB2312" w:hAnsi="仿宋_GB2312" w:cs="仿宋_GB2312" w:eastAsia="仿宋_GB2312"/>
              </w:rPr>
              <w:t>7.场地画线：采用白色人造草勾勒而成，不得用油漆等涂料喷画。界线一律为8厘米。场地划线详细规格详见附件。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四、各组成部分</w:t>
            </w:r>
          </w:p>
          <w:tbl>
            <w:tblPr>
              <w:tblBorders>
                <w:top w:val="none" w:color="000000" w:sz="4"/>
                <w:left w:val="none" w:color="000000" w:sz="4"/>
                <w:bottom w:val="none" w:color="000000" w:sz="4"/>
                <w:right w:val="none" w:color="000000" w:sz="4"/>
                <w:insideH w:val="none"/>
                <w:insideV w:val="none"/>
              </w:tblBorders>
            </w:tblPr>
            <w:tblGrid>
              <w:gridCol w:w="804"/>
              <w:gridCol w:w="434"/>
              <w:gridCol w:w="410"/>
              <w:gridCol w:w="892"/>
            </w:tblGrid>
            <w:tr>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备注</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围  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（28+18）×2×4.5（m）</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人造草（含划线）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28×18（m）</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天  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28×18（m）</w:t>
                  </w: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太阳能灯光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球门（含球网）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注：所列“项目”为必要内容，缺一不可。所列“数量”为最低要求。</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五、质量要求</w:t>
            </w:r>
          </w:p>
          <w:p>
            <w:pPr>
              <w:pStyle w:val="null3"/>
              <w:ind w:firstLine="420"/>
              <w:jc w:val="left"/>
            </w:pPr>
            <w:r>
              <w:rPr>
                <w:rFonts w:ascii="仿宋_GB2312" w:hAnsi="仿宋_GB2312" w:cs="仿宋_GB2312" w:eastAsia="仿宋_GB2312"/>
              </w:rPr>
              <w:t>所有器材设施符合笼式场地NSCC认证。质保期不少于8年。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产品安装调试经采购人验收合格并达到付款条件后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产品安装调试经采购人验收合格并达到付款条件后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产品安装调试经采购人验收合格并达到付款条件后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成交供应商提交项目所有的成果报告后，由采购人和成交供应商共同对项目进行整体验收。其内容包括是否按照采购人要求进行供货、是否在规定时间内供货完毕。 其他事项： 1、验收合格后，填写政府采购项目验收单作为对本服务的最终认可。 2、供应商向采购人提供货物过程中的所有资料,以便采购人日后管理。 3、验收依据 3.1采购文件、响应文件、澄清表（函）； 3.2本合同及附件文本；3.3国家相应的标准、规范。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成交供应商提交项目所有的成果报告后，由采购人和成交供应商共同对项目进行整体验收。其内容包括是否按照采购人要求进行供货、是否在规定时间内供货完毕。 其他事项： 1、验收合格后，填写政府采购项目验收单作为对本服务的最终认可。 2、供应商向采购人提供货物过程中的所有资料,以便采购人日后管理。 3、验收依据 3.1采购文件、响应文件、澄清表（函）；3.2本合同及附件文本；3.3国家相应的标准、规范。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成交供应商提交项目所有的成果报告后，由采购人和成交供应商共同对项目进行整体验收。其内容包括是否按照采购人要求进行供货、是否在规定时间内供货完毕。 其他事项： 1、验收合格后，填写政府采购项目验收单作为对本服务的最终认可。 2、供应商向采购人提供货物过程中的所有资料,以便采购人日后管理。 3、验收依据 3.1采购文件、响应文件、澄清表（函）；3.2本合同及附件文本；3.3国家相应的标准、规范。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1、质保期按采购人要求执行，不少于8年。 2、所有产品质量必须符合国家有关规范和相关政策。所有产品必须是未使用过的新产品，质量优良、渠道正当。3、质保期出现的质量问题由成交单位负责解决并承担所有费用。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1、质保期按采购人要求执行，不少于8年。 2、所有产品质量必须符合国家有关规范和相关政策。所有产品必须是未使用过的新产品，质量优良、渠道正当。3、质保期出现的质量问题由成交单位负责解决并承担所有费用。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1、质保期按采购人要求执行，不少于8年。 2、所有产品质量必须符合国家有关规范和相关政策。所有产品必须是未使用过的新产品，质量优良、渠道正当。3、质保期出现的质量问题由成交单位负责解决并承担所有费用。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1.1按《中华人民共和国民法典》中的相关条款执行。1.2未按合同要求提供服务或服务质量不能满足本次采购要求，甲方会同监督机构、采购代理机构有权终止合同和对乙方违约行为进行追究，同时按有关规定进行相应的处罚。2、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1.1按《中华人民共和国民法典》中的相关条款执行。1.2未按合同要求提供服务或服务质量不能满足本次采购要求，甲方会同监督机构、采购代理机构有权终止合同和对乙方违约行为进行追究，同时按有关规定进行相应的处罚。2、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1.1按《中华人民共和国民法典》中的相关条款执行。1.2未按合同要求提供服务或服务质量不能满足本次采购要求，甲方会同监督机构、采购代理机构有权终止合同和对乙方违约行为进行追究，同时按有关规定进行相应的处罚。2、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谈判响应文件，确定成交后，成交供应商须提交纸质版谈判响应文件，正本壹份、副本贰份、电子版壹份（U盘一套标明供应商名称）用于项目存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谈判响应文件，确定成交后，成交供应商须提交纸质版谈判响应文件，正本壹份、副本贰份、电子版壹份（U盘一套标明供应商名称）用于项目存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 采购项目的磋商响应文件，确定成交后，成交供应商须提交纸质版磋商响应文件，正本壹份、副本贰份、电子版壹份（U盘一套标明供应商名称）用于项目存档。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供应商相关资格证明文件.pdf 陕西省政府采购投标人拒绝政府采购领域商业贿赂承诺书.pdf 落实政府采购政策须提供的资料及供应商认为有必要提供的其它资料.pdf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供应商相关资格证明文件.pdf 陕西省政府采购投标人拒绝政府采购领域商业贿赂承诺书.pdf 落实政府采购政策须提供的资料及供应商认为有必要提供的其它资料.pdf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供应商相关资格证明文件.pdf 陕西省政府采购投标人拒绝政府采购领域商业贿赂承诺书.pdf 落实政府采购政策须提供的资料及供应商认为有必要提供的其它资料.pdf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供应商相关资格证明文件.pdf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供应商相关资格证明文件.pdf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 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供应商相关资格证明文件.pdf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供应商相关资格证明文件.pdf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应符合“竞争性谈判响应文件格式”要求。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谈判报价符合唯一性要求、响应报价表填写符合要求、报价货币符合谈判文件要求、报价数量与要求符合并未出现漏项、未超出采购预算和谈判文件规定的各分项最高限价； 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 谈判响应文件中项目名称、项目编号与本项目一致； 谈判响应文件至少包括：1）响应函、2）响应报价表、3）供应商资格证明文件、4）采购需求偏离表、5）供应商承诺书。</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应满足谈判文件中要求的交货时间、质保期。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应符合“竞争性谈判响应文件格式”要求。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谈判报价符合唯一性要求、响应报价表填写符合要求、报价货币符合谈判文件要求、报价数量与要求符合并未出现漏项、未超出采购预算和谈判文件规定的各分项最高限价； 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 谈判响应文件中项目名称、项目编号与本项目一致； 谈判响应文件至少包括：1）响应函、2）响应报价表、3）供应商资格证明文件、4）采购需求偏离表、5）供应商承诺书。</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应满足谈判文件中要求的交货时间、质保期。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应符合“竞争性谈判响应文件格式”要求。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谈判报价符合唯一性要求、响应报价表填写符合要求、报价货币符合谈判文件要求、报价数量与要求符合并未出现漏项、未超出采购预算和谈判文件规定的各分项最高限价； 只能有一个有效报价，不得提交选择性报价，按要求提交二次或多次报价，且每轮报价不超过采购预算金额或最高限价或谈判小组认为低于成本价的报价。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 谈判响应文件中项目名称、项目编号与本项目一致； 谈判响应文件至少包括：1）响应函、2）响应报价表、3）供应商资格证明文件、4）采购需求偏离表、5）供应商承诺书。</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技术服务方案.pdf 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应满足谈判文件中要求的交货时间、质保期。</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详见附件：供应商相关资格证明文件.pdf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详见附件：技术服务方案.pdf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详见附件：落实政府采购政策须提供的资料及供应商认为有必要提供的其它资料.pdf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详见附件：供应商相关资格证明文件.pdf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详见附件：技术服务方案.pdf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详见附件：落实政府采购政策须提供的资料及供应商认为有必要提供的其它资料.pdf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详见附件：供应商相关资格证明文件.pdf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详见附件：技术服务方案.pdf</w:t>
      </w:r>
    </w:p>
    <w:p>
      <w:pPr>
        <w:pStyle w:val="null3"/>
        <w:ind w:firstLine="960"/>
      </w:pPr>
      <w:r>
        <w:rPr>
          <w:rFonts w:ascii="仿宋_GB2312" w:hAnsi="仿宋_GB2312" w:cs="仿宋_GB2312" w:eastAsia="仿宋_GB2312"/>
        </w:rPr>
        <w:t>详见附件：陕西省政府采购投标人拒绝政府采购领域商业贿赂承诺书.pdf</w:t>
      </w:r>
    </w:p>
    <w:p>
      <w:pPr>
        <w:pStyle w:val="null3"/>
        <w:ind w:firstLine="960"/>
      </w:pPr>
      <w:r>
        <w:rPr>
          <w:rFonts w:ascii="仿宋_GB2312" w:hAnsi="仿宋_GB2312" w:cs="仿宋_GB2312" w:eastAsia="仿宋_GB2312"/>
        </w:rPr>
        <w:t>详见附件：落实政府采购政策须提供的资料及供应商认为有必要提供的其它资料.pdf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