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版本号：SXLX25-01-063Z(H)20250728001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四分类垃圾桶采购项目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SXLX25-01-063Z(H)</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四分类垃圾桶采购项目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SXLX25-01-063Z(H)</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四分类垃圾桶采购项目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采购一批新国标120L塑料垃圾桶（厨余垃圾桶）、240L塑料垃圾桶（其他垃圾桶），用于日常城市清洁活动中的垃圾收集及转运，要求所有货物（产品）质量合格、安装、调试到位、验收合格达到交钥匙使用条件。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采购包1（四分类垃圾桶采购项目）：属于专门面向中小企业采购。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孙可欣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029-85255392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不足捌仟圆按捌仟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陕西隆信项目管理有限公司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采购一批新国标120L塑料垃圾桶（厨余垃圾桶）、240L塑料垃圾桶（其他垃圾桶），用于日常城市清洁活动中的垃圾收集及转运，要求所有货物（产品）质量合格、安装、调试到位、验收合格达到交钥匙使用条件。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四分类垃圾桶采购项目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标的名称：四分类垃圾桶采购项目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一、采购需求及要求</w:t>
            </w:r>
          </w:p>
          <w:p>
            <w:pPr>
              <w:pStyle w:val="null3"/>
              <w:ind w:firstLine="420"/>
              <w:jc w:val="both"/>
            </w:pPr>
            <w:r>
              <w:rPr>
                <w:rFonts w:ascii="仿宋_GB2312" w:hAnsi="仿宋_GB2312" w:cs="仿宋_GB2312" w:eastAsia="仿宋_GB2312"/>
                <w:sz w:val="21"/>
                <w:color w:val="000000"/>
              </w:rPr>
              <w:t>1.1采购需求清单：详见附表:</w:t>
            </w:r>
            <w:r>
              <w:rPr>
                <w:rFonts w:ascii="仿宋_GB2312" w:hAnsi="仿宋_GB2312" w:cs="仿宋_GB2312" w:eastAsia="仿宋_GB2312"/>
                <w:sz w:val="21"/>
                <w:color w:val="000000"/>
              </w:rPr>
              <w:t>四分类垃圾桶</w:t>
            </w:r>
            <w:r>
              <w:rPr>
                <w:rFonts w:ascii="仿宋_GB2312" w:hAnsi="仿宋_GB2312" w:cs="仿宋_GB2312" w:eastAsia="仿宋_GB2312"/>
                <w:sz w:val="21"/>
                <w:color w:val="000000"/>
              </w:rPr>
              <w:t>采购需求清单</w:t>
            </w:r>
            <w:r>
              <w:rPr>
                <w:rFonts w:ascii="仿宋_GB2312" w:hAnsi="仿宋_GB2312" w:cs="仿宋_GB2312" w:eastAsia="仿宋_GB2312"/>
                <w:sz w:val="21"/>
                <w:color w:val="000000"/>
              </w:rPr>
              <w:t>（注：需求清单一览表中的</w:t>
            </w:r>
            <w:r>
              <w:rPr>
                <w:rFonts w:ascii="仿宋_GB2312" w:hAnsi="仿宋_GB2312" w:cs="仿宋_GB2312" w:eastAsia="仿宋_GB2312"/>
                <w:sz w:val="21"/>
                <w:color w:val="000000"/>
              </w:rPr>
              <w:t>★号技术指标参数，</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未按要求提供相关证明材料或技术指标参数存在负偏离的，均按无效响应）。</w:t>
            </w:r>
          </w:p>
          <w:p>
            <w:pPr>
              <w:pStyle w:val="null3"/>
              <w:ind w:firstLine="420"/>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应按要求提供所投的设备（产品）的技术资料（不限于原厂印刷的产品说明书、质量证书、检测报告、合格证、官网截图等）；</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应保证投标所提</w:t>
            </w:r>
            <w:r>
              <w:rPr>
                <w:rFonts w:ascii="仿宋_GB2312" w:hAnsi="仿宋_GB2312" w:cs="仿宋_GB2312" w:eastAsia="仿宋_GB2312"/>
                <w:sz w:val="21"/>
                <w:color w:val="000000"/>
              </w:rPr>
              <w:t>供的</w:t>
            </w:r>
            <w:r>
              <w:rPr>
                <w:rFonts w:ascii="仿宋_GB2312" w:hAnsi="仿宋_GB2312" w:cs="仿宋_GB2312" w:eastAsia="仿宋_GB2312"/>
                <w:sz w:val="21"/>
                <w:color w:val="000000"/>
              </w:rPr>
              <w:t>第三方资料内容真实、完整、准确；如有相关第三方书面声明、相关检测报告等资料虚假，监管部门有权根据调查情形认定其是否属于提供虚假材料谋取中标（成交），并严肃处理</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产品</w:t>
            </w:r>
            <w:r>
              <w:rPr>
                <w:rFonts w:ascii="仿宋_GB2312" w:hAnsi="仿宋_GB2312" w:cs="仿宋_GB2312" w:eastAsia="仿宋_GB2312"/>
                <w:sz w:val="21"/>
                <w:color w:val="000000"/>
              </w:rPr>
              <w:t>“三包”要求：货物（产品）属于国家规定的“三包产品”，产品制造商、经销代理商应遵守“三包”的规定，在产品发生质量问题时，及时对所提供产品实行“包退、包换、保修”服务</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color w:val="000000"/>
              </w:rPr>
              <w:t>1.4安全要求：</w:t>
            </w:r>
            <w:r>
              <w:rPr>
                <w:rFonts w:ascii="仿宋_GB2312" w:hAnsi="仿宋_GB2312" w:cs="仿宋_GB2312" w:eastAsia="仿宋_GB2312"/>
                <w:sz w:val="21"/>
                <w:color w:val="000000"/>
              </w:rPr>
              <w:t>认真贯彻执行国家及省、市有关安全文明生产的法律法规规章和强制性标准、安全操作规程等，所有设备</w:t>
            </w:r>
            <w:r>
              <w:rPr>
                <w:rFonts w:ascii="仿宋_GB2312" w:hAnsi="仿宋_GB2312" w:cs="仿宋_GB2312" w:eastAsia="仿宋_GB2312"/>
                <w:sz w:val="21"/>
                <w:color w:val="000000"/>
              </w:rPr>
              <w:t>（</w:t>
            </w:r>
            <w:r>
              <w:rPr>
                <w:rFonts w:ascii="仿宋_GB2312" w:hAnsi="仿宋_GB2312" w:cs="仿宋_GB2312" w:eastAsia="仿宋_GB2312"/>
                <w:sz w:val="21"/>
                <w:color w:val="000000"/>
              </w:rPr>
              <w:t>产品</w:t>
            </w:r>
            <w:r>
              <w:rPr>
                <w:rFonts w:ascii="仿宋_GB2312" w:hAnsi="仿宋_GB2312" w:cs="仿宋_GB2312" w:eastAsia="仿宋_GB2312"/>
                <w:sz w:val="21"/>
                <w:color w:val="000000"/>
              </w:rPr>
              <w:t>）</w:t>
            </w:r>
            <w:r>
              <w:rPr>
                <w:rFonts w:ascii="仿宋_GB2312" w:hAnsi="仿宋_GB2312" w:cs="仿宋_GB2312" w:eastAsia="仿宋_GB2312"/>
                <w:sz w:val="21"/>
                <w:color w:val="000000"/>
              </w:rPr>
              <w:t>应符合国家相关安全标准，所有货物（产品）能够承受频繁使用和可能的不当操作，结构稳定，不易倾倒或损坏；货物（产品）无锐利边角、无毒无害、不易造成意外伤害，部分尺寸可调节的产品应与实际使用场地相匹配；建立健全安装现场安全文明生产保证体系，落实各项具体措施，切实履行安全文明生产责任和义务，保护职工身体健康和生命安全，以及社会公众安全，保持安装现场整齐有序</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质量标准及要求：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1）所有货物（产品）、服务符合国家、省、市（行业）强制性标准及采购人要求的合格标准；</w:t>
            </w:r>
          </w:p>
          <w:p>
            <w:pPr>
              <w:pStyle w:val="null3"/>
              <w:ind w:firstLine="422"/>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22"/>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货物（产品）、服务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为保证货物（软件和硬件）质</w:t>
            </w:r>
            <w:r>
              <w:rPr>
                <w:rFonts w:ascii="仿宋_GB2312" w:hAnsi="仿宋_GB2312" w:cs="仿宋_GB2312" w:eastAsia="仿宋_GB2312"/>
                <w:sz w:val="21"/>
                <w:color w:val="000000"/>
              </w:rPr>
              <w:t>量和</w:t>
            </w:r>
            <w:r>
              <w:rPr>
                <w:rFonts w:ascii="仿宋_GB2312" w:hAnsi="仿宋_GB2312" w:cs="仿宋_GB2312" w:eastAsia="仿宋_GB2312"/>
                <w:sz w:val="21"/>
                <w:color w:val="000000"/>
              </w:rPr>
              <w:t>功能的严谨性，中标（成交）后采购人有权要求</w:t>
            </w: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对其</w:t>
            </w:r>
            <w:r>
              <w:rPr>
                <w:rFonts w:ascii="仿宋_GB2312" w:hAnsi="仿宋_GB2312" w:cs="仿宋_GB2312" w:eastAsia="仿宋_GB2312"/>
                <w:sz w:val="21"/>
                <w:color w:val="000000"/>
              </w:rPr>
              <w:t>所提</w:t>
            </w:r>
            <w:r>
              <w:rPr>
                <w:rFonts w:ascii="仿宋_GB2312" w:hAnsi="仿宋_GB2312" w:cs="仿宋_GB2312" w:eastAsia="仿宋_GB2312"/>
                <w:sz w:val="21"/>
                <w:color w:val="000000"/>
              </w:rPr>
              <w:t>供的设备（产品）（包含软件和硬件）的功能进行逐一演示，如有功能与实际不相符，一律按虚假应标处理，由</w:t>
            </w: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承担</w:t>
            </w:r>
            <w:r>
              <w:rPr>
                <w:rFonts w:ascii="仿宋_GB2312" w:hAnsi="仿宋_GB2312" w:cs="仿宋_GB2312" w:eastAsia="仿宋_GB2312"/>
                <w:sz w:val="21"/>
                <w:color w:val="000000"/>
              </w:rPr>
              <w:t>因此</w:t>
            </w:r>
            <w:r>
              <w:rPr>
                <w:rFonts w:ascii="仿宋_GB2312" w:hAnsi="仿宋_GB2312" w:cs="仿宋_GB2312" w:eastAsia="仿宋_GB2312"/>
                <w:sz w:val="21"/>
                <w:color w:val="000000"/>
              </w:rPr>
              <w:t>产生的一切后果和责任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r>
              <w:rPr>
                <w:rFonts w:ascii="仿宋_GB2312" w:hAnsi="仿宋_GB2312" w:cs="仿宋_GB2312" w:eastAsia="仿宋_GB2312"/>
                <w:sz w:val="21"/>
                <w:color w:val="000000"/>
              </w:rPr>
              <w:t>售后服务要求：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须指派专人负责与采购人联系售后服务事宜；</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负责货物的现场安装、调试、测试和启动等；</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负责货物的安装、启动、运行及维护等对使用人员进行免费培训：培训主要内容为货物的基本结构、性能、主要部件的构造及原理，日常使用操作、维护保养与管理，常见故障的排除、紧急情况的处理等，如使用方未使用过同类型货物，</w:t>
            </w: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还需就货物的功能对使用方人员进行相应的技术培训，培训地点为货物安装现场或由采购人安排；</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4）质保期自采购人在质量验收单（终验）上签字之日起计算，质保费用计入总价；</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负责对其提供的货物整体进行维修和系统维护，质保期内应无偿负责现场技术巡检、维修和替换等工作；若遇到采购人重大活动需无条件提供现场技术支持服务且不再收取任何费用，但不可抗力（如火灾、雷击等）造成的故障除外；超出质保期只收取维修所需原设备、材料成本费用；</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负责对其所提供的设备、材料等备品配件供应，提供长期维修，并提供技术咨询等服务，所有维修记录交由采购人的现场技术人员一份，并详细说明问题所在、解决办法及注意事项；</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7）货物故障报修的</w:t>
            </w:r>
            <w:r>
              <w:rPr>
                <w:rFonts w:ascii="仿宋_GB2312" w:hAnsi="仿宋_GB2312" w:cs="仿宋_GB2312" w:eastAsia="仿宋_GB2312"/>
                <w:sz w:val="21"/>
                <w:color w:val="000000"/>
              </w:rPr>
              <w:t>响应</w:t>
            </w:r>
            <w:r>
              <w:rPr>
                <w:rFonts w:ascii="仿宋_GB2312" w:hAnsi="仿宋_GB2312" w:cs="仿宋_GB2312" w:eastAsia="仿宋_GB2312"/>
                <w:sz w:val="21"/>
                <w:color w:val="000000"/>
              </w:rPr>
              <w:t>时间为：</w:t>
            </w:r>
            <w:r>
              <w:rPr>
                <w:rFonts w:ascii="仿宋_GB2312" w:hAnsi="仿宋_GB2312" w:cs="仿宋_GB2312" w:eastAsia="仿宋_GB2312"/>
                <w:sz w:val="21"/>
                <w:color w:val="000000"/>
              </w:rPr>
              <w:t>7x24小时免费上门服务；</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8）所有货物服务方式均为</w:t>
            </w: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上门服务，即由</w:t>
            </w: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派人到货物使用现场维修，由此产生的一切费用均由</w:t>
            </w: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承担，对系统进行定期的检修、保养工作，并与用户进行沟通，定期开展技术交流活动，预防故障发生，保证系统的正常运行；</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9）在保修期内更换系统中</w:t>
            </w:r>
            <w:r>
              <w:rPr>
                <w:rFonts w:ascii="仿宋_GB2312" w:hAnsi="仿宋_GB2312" w:cs="仿宋_GB2312" w:eastAsia="仿宋_GB2312"/>
                <w:sz w:val="21"/>
                <w:color w:val="000000"/>
              </w:rPr>
              <w:t>的零</w:t>
            </w:r>
            <w:r>
              <w:rPr>
                <w:rFonts w:ascii="仿宋_GB2312" w:hAnsi="仿宋_GB2312" w:cs="仿宋_GB2312" w:eastAsia="仿宋_GB2312"/>
                <w:sz w:val="21"/>
                <w:color w:val="000000"/>
              </w:rPr>
              <w:t>部件，其保修期应相应延长；</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10）质保期结束后的维修、维护等由双方协商再定</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二、其他要求或说明</w:t>
            </w:r>
          </w:p>
          <w:p>
            <w:pPr>
              <w:pStyle w:val="null3"/>
              <w:ind w:right="90" w:firstLine="422"/>
              <w:jc w:val="both"/>
            </w:pPr>
            <w:r>
              <w:rPr>
                <w:rFonts w:ascii="仿宋_GB2312" w:hAnsi="仿宋_GB2312" w:cs="仿宋_GB2312" w:eastAsia="仿宋_GB2312"/>
                <w:sz w:val="21"/>
                <w:color w:val="000000"/>
              </w:rPr>
              <w:t>2.1人员配置要求：</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根据采购项目特性及要求，自行组织实施与管理，建立以负责人为核心的履行合同所必需人员团队，相关人员经过严格培训，有相关工作经验，能够胜任项目工作，保证项目顺利实施</w:t>
            </w:r>
            <w:r>
              <w:rPr>
                <w:rFonts w:ascii="仿宋_GB2312" w:hAnsi="仿宋_GB2312" w:cs="仿宋_GB2312" w:eastAsia="仿宋_GB2312"/>
                <w:sz w:val="21"/>
                <w:color w:val="000000"/>
              </w:rPr>
              <w:t>。</w:t>
            </w:r>
          </w:p>
          <w:p>
            <w:pPr>
              <w:pStyle w:val="null3"/>
              <w:ind w:right="90" w:firstLine="422"/>
              <w:jc w:val="both"/>
            </w:pPr>
            <w:r>
              <w:rPr>
                <w:rFonts w:ascii="仿宋_GB2312" w:hAnsi="仿宋_GB2312" w:cs="仿宋_GB2312" w:eastAsia="仿宋_GB2312"/>
                <w:sz w:val="21"/>
                <w:color w:val="000000"/>
              </w:rPr>
              <w:t>2.2设施设备要求：</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根据采购项目特性及要求，自行配置投入履行合同所必需的各类设施设备（不限于专业设备、辅助设备、工具、软件等），保证项目顺利实施</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color w:val="000000"/>
              </w:rPr>
              <w:t>★2.3核心产品的名称：</w:t>
            </w:r>
            <w:r>
              <w:rPr>
                <w:rFonts w:ascii="仿宋_GB2312" w:hAnsi="仿宋_GB2312" w:cs="仿宋_GB2312" w:eastAsia="仿宋_GB2312"/>
                <w:sz w:val="21"/>
                <w:color w:val="000000"/>
                <w:u w:val="single"/>
              </w:rPr>
              <w:t>120L厨余垃圾塑料垃圾桶</w:t>
            </w:r>
            <w:r>
              <w:rPr>
                <w:rFonts w:ascii="仿宋_GB2312" w:hAnsi="仿宋_GB2312" w:cs="仿宋_GB2312" w:eastAsia="仿宋_GB2312"/>
                <w:sz w:val="21"/>
                <w:color w:val="000000"/>
                <w:u w:val="single"/>
              </w:rPr>
              <w:t>、</w:t>
            </w:r>
            <w:r>
              <w:rPr>
                <w:rFonts w:ascii="仿宋_GB2312" w:hAnsi="仿宋_GB2312" w:cs="仿宋_GB2312" w:eastAsia="仿宋_GB2312"/>
                <w:sz w:val="21"/>
                <w:color w:val="000000"/>
                <w:u w:val="single"/>
              </w:rPr>
              <w:t>24</w:t>
            </w:r>
            <w:r>
              <w:rPr>
                <w:rFonts w:ascii="仿宋_GB2312" w:hAnsi="仿宋_GB2312" w:cs="仿宋_GB2312" w:eastAsia="仿宋_GB2312"/>
                <w:sz w:val="21"/>
                <w:color w:val="000000"/>
                <w:u w:val="single"/>
              </w:rPr>
              <w:t>0L其他垃圾塑料垃圾桶</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4</w:t>
            </w:r>
            <w:r>
              <w:rPr>
                <w:rFonts w:ascii="仿宋_GB2312" w:hAnsi="仿宋_GB2312" w:cs="仿宋_GB2312" w:eastAsia="仿宋_GB2312"/>
                <w:sz w:val="21"/>
                <w:color w:val="000000"/>
              </w:rPr>
              <w:t>本项目标的所属行业为</w:t>
            </w:r>
            <w:r>
              <w:rPr>
                <w:rFonts w:ascii="仿宋_GB2312" w:hAnsi="仿宋_GB2312" w:cs="仿宋_GB2312" w:eastAsia="仿宋_GB2312"/>
                <w:sz w:val="21"/>
                <w:color w:val="000000"/>
              </w:rPr>
              <w:t>:</w:t>
            </w:r>
            <w:r>
              <w:rPr>
                <w:rFonts w:ascii="仿宋_GB2312" w:hAnsi="仿宋_GB2312" w:cs="仿宋_GB2312" w:eastAsia="仿宋_GB2312"/>
                <w:u w:val="single"/>
              </w:rPr>
              <w:t xml:space="preserve"> </w:t>
            </w:r>
            <w:r>
              <w:rPr>
                <w:rFonts w:ascii="仿宋_GB2312" w:hAnsi="仿宋_GB2312" w:cs="仿宋_GB2312" w:eastAsia="仿宋_GB2312"/>
                <w:sz w:val="21"/>
                <w:color w:val="000000"/>
                <w:u w:val="single"/>
              </w:rPr>
              <w:t>工业</w:t>
            </w:r>
            <w:r>
              <w:rPr>
                <w:rFonts w:ascii="仿宋_GB2312" w:hAnsi="仿宋_GB2312" w:cs="仿宋_GB2312" w:eastAsia="仿宋_GB2312"/>
                <w:u w:val="single"/>
              </w:rPr>
              <w:t xml:space="preserve"> </w:t>
            </w:r>
            <w:r>
              <w:rPr>
                <w:rFonts w:ascii="仿宋_GB2312" w:hAnsi="仿宋_GB2312" w:cs="仿宋_GB2312" w:eastAsia="仿宋_GB2312"/>
                <w:sz w:val="21"/>
                <w:color w:val="000000"/>
              </w:rPr>
              <w:t>（从业人员</w:t>
            </w:r>
            <w:r>
              <w:rPr>
                <w:rFonts w:ascii="仿宋_GB2312" w:hAnsi="仿宋_GB2312" w:cs="仿宋_GB2312" w:eastAsia="仿宋_GB2312"/>
                <w:sz w:val="21"/>
                <w:color w:val="000000"/>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自合同签订生效之日起20日内完成供货、安装、调试、验收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根据成交单价和实际采购数量据实结算，所有货物交货完成，验收合格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按照国家（行业）强制性标准及合同约定对成交供应商所提供的货物（产品）或服务进行检查或验收，成交供应商须无条件地接受采购人的各类检查或验收；若验收不通过或质量不合格，成交供应商应在一定期限进行整改完善，以采购人要求的标准提供合格的货物（产品）或服务；若成交供应商在接受检查整改后，仍不能提供符合采购要求的合格货物（产品）或服务，采购人有权按违约予以撤项，具体按合同相关条款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运输要求：采用公路或铁路运输方式，选择风险小、运费低和运距短的运输路线。运杂费一次性包死在总价内，采购人不再额外支付，包括从生产厂家到使用（安装）现场的包装、装载、运输、卸载、现场保管、二次倒运等费用。 （2）包装要求：①全部货物（产品）均应按照国家、行业规定的标准和保护措施进行包装，该包装应适应于远距离运输、防潮、防震、防锈和防野蛮装卸，以确保货物安全运抵指定地点；②当包装使用塑料、纸质、木材等包装材料时，除应当按照国家、行业规定的包装标准进行包装外，还需按照《商品包装政府采购需求标准（试行）》（财办库〔2020〕）123号）规定的环保要求进行包装；③当采用快递交货方式时，快递包装除应当按照国家、行业规定的包装标准进行包装外，还需按照《快递包装政府采购需求标准（试行）》（财办库〔2020〕）123号）规定的环保要求进行包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本项目整体质保期不少于12个月，供应商承诺超过采购文件要求的，按其承诺的质保期进行质保，质保期起始时间为终验合格之日。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的报价是供应商响应采购项目要求的全部工作内容的价格体现，包括供应商完成本项目所需的直接费、间接费、利润、税金及其他相关的一切费用，包括但不限于：产品费、附件费、工具费、验收费、运输费、保险费、安装费、调试费、技术服务费（含售后）、招标代理费、税金、利润及不可预见费等费用；谈判总价中不得包含采购文件要求以外的内容，否则，在评标时不予核减。在供货、安装、调试、培训等工作中出现硬件、软件等的任何遗漏，均由中标人免费提供，采购人将不再支付任何费用。 二、谈判有效期 1.出现特殊情况需要延长谈判有效期的，采购代理机构或采购人可于谈判有效期满之前，以书面形式通知所有供应商延长谈判有效期。供应商应予书面答复，同意延长的，但不得要求或被允许修改其响应文件；供应商拒绝延长的，其响应文件失效。 2.在谈判有效期内，供应商撤销响应文件的，应承担响应文件和法律规定的责任。 3.中标人的谈判有效期自动延长至合同终止为止。 三、分公司独立参与谈判时，不能使用总公司的资质或业绩；总公司单独参与谈判时，除总公司所投产品为分公司生产的产品外，不能使用分公司的资质或业绩。总公司授权分公司或分支机构参与谈判，可以使用总公司的资质或业绩。 四、采购文件中签名是指：手写签名或加盖签名章（含电子），盖章是指加盖单位章（含电子）。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谈判、报价等操作，谈判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具有依法缴纳税收和社会保障资金的良好记录</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 xml:space="preserve"> 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供应商提供的货物全部由符合政策要求的中小企业或残疾人福利性单位或监狱企业制造。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（注：不得因文件排序、页码、名称统一、序号等非实质性的格式、形式问题及个别遗漏或瑕疵的签署或盖章问题而限制和影响供应商投标）</w:t>
            </w:r>
          </w:p>
        </w:tc>
        <w:tc>
          <w:tcPr>
            <w:tcW w:type="dxa" w:w="1661"/>
          </w:tcPr>
          <w:p>
            <w:pPr>
              <w:pStyle w:val="null3"/>
            </w:pPr>
            <w:r>
              <w:rPr>
                <w:rFonts w:ascii="仿宋_GB2312" w:hAnsi="仿宋_GB2312" w:cs="仿宋_GB2312" w:eastAsia="仿宋_GB2312"/>
              </w:rPr>
              <w:t>响应文件封面 商务、技术文件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（2）不同供应商委托同一单位或者个人办理投标事宜；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标的数量及主要要求</w:t>
            </w:r>
          </w:p>
        </w:tc>
        <w:tc>
          <w:tcPr>
            <w:tcW w:type="dxa" w:w="3322"/>
          </w:tcPr>
          <w:p>
            <w:pPr>
              <w:pStyle w:val="null3"/>
            </w:pPr>
            <w:r>
              <w:rPr>
                <w:rFonts w:ascii="仿宋_GB2312" w:hAnsi="仿宋_GB2312" w:cs="仿宋_GB2312" w:eastAsia="仿宋_GB2312"/>
              </w:rPr>
              <w:t>满足采购文件中规定数量及主要要求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按供应商最终报价从低到高进行排序，最终报价相同的，按供应商提供的优先采购产品认证证书数量由多到少顺序排列；最终报价且提供的优先采购产品认证证书数量相同的并列。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