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046EE">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供货合同</w:t>
      </w:r>
    </w:p>
    <w:p w14:paraId="2D969B69">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8058AD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7E164CB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 xml:space="preserve"> 教学设备采购项目（项目编号：HXGJXM2025-ZC-JT1006</w:t>
      </w:r>
      <w:r>
        <w:rPr>
          <w:rFonts w:hint="eastAsia" w:ascii="仿宋" w:hAnsi="仿宋" w:eastAsia="仿宋" w:cs="仿宋"/>
          <w:b w:val="0"/>
          <w:color w:val="auto"/>
          <w:kern w:val="0"/>
          <w:sz w:val="24"/>
          <w:szCs w:val="24"/>
          <w:highlight w:val="none"/>
          <w:lang w:val="en-US" w:eastAsia="zh-CN" w:bidi="ar-SA"/>
        </w:rPr>
        <w:t>）相关采购要求的规定，合同双方就乙方向采购方提供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教学设备采购项目 </w:t>
      </w:r>
      <w:r>
        <w:rPr>
          <w:rFonts w:hint="eastAsia" w:ascii="仿宋" w:hAnsi="仿宋" w:eastAsia="仿宋" w:cs="仿宋"/>
          <w:b w:val="0"/>
          <w:color w:val="auto"/>
          <w:kern w:val="0"/>
          <w:sz w:val="24"/>
          <w:szCs w:val="24"/>
          <w:highlight w:val="none"/>
          <w:lang w:val="en-US" w:eastAsia="zh-CN" w:bidi="ar-SA"/>
        </w:rPr>
        <w:t>事宜，经协商达成一致，确立本合同。</w:t>
      </w:r>
    </w:p>
    <w:p w14:paraId="2A585646">
      <w:pPr>
        <w:pStyle w:val="10"/>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bookmarkStart w:id="0" w:name="_Toc23305"/>
      <w:bookmarkStart w:id="1" w:name="_Toc10520"/>
      <w:r>
        <w:rPr>
          <w:rFonts w:hint="eastAsia" w:ascii="仿宋" w:hAnsi="仿宋" w:eastAsia="仿宋" w:cs="仿宋"/>
          <w:b/>
          <w:color w:val="auto"/>
          <w:sz w:val="24"/>
          <w:szCs w:val="24"/>
          <w:highlight w:val="none"/>
        </w:rPr>
        <w:t>第一条：合同标的及付款方式</w:t>
      </w:r>
      <w:bookmarkEnd w:id="0"/>
      <w:bookmarkEnd w:id="1"/>
    </w:p>
    <w:p w14:paraId="1A9F46C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bookmarkStart w:id="2" w:name="_Toc4982"/>
      <w:bookmarkStart w:id="3" w:name="_Toc769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bookmarkEnd w:id="2"/>
      <w:bookmarkEnd w:id="3"/>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教学设备采购项目</w:t>
      </w:r>
      <w:r>
        <w:rPr>
          <w:rFonts w:hint="eastAsia" w:ascii="仿宋" w:hAnsi="仿宋" w:eastAsia="仿宋" w:cs="仿宋"/>
          <w:color w:val="auto"/>
          <w:sz w:val="24"/>
          <w:szCs w:val="24"/>
          <w:highlight w:val="none"/>
          <w:lang w:eastAsia="zh-CN"/>
        </w:rPr>
        <w:t xml:space="preserve"> </w:t>
      </w:r>
    </w:p>
    <w:p w14:paraId="738F3FE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outlineLvl w:val="9"/>
        <w:rPr>
          <w:rFonts w:hint="eastAsia" w:ascii="仿宋" w:hAnsi="仿宋" w:eastAsia="仿宋" w:cs="仿宋"/>
          <w:color w:val="auto"/>
          <w:szCs w:val="24"/>
          <w:highlight w:val="none"/>
        </w:rPr>
      </w:pPr>
      <w:bookmarkStart w:id="4" w:name="_Toc1881"/>
      <w:bookmarkStart w:id="5" w:name="_Toc22018"/>
      <w:r>
        <w:rPr>
          <w:rFonts w:hint="eastAsia" w:ascii="仿宋" w:hAnsi="仿宋" w:eastAsia="仿宋" w:cs="仿宋"/>
          <w:color w:val="auto"/>
          <w:szCs w:val="24"/>
          <w:highlight w:val="none"/>
        </w:rPr>
        <w:t>附分项清单：</w:t>
      </w:r>
    </w:p>
    <w:tbl>
      <w:tblPr>
        <w:tblStyle w:val="7"/>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41C2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noWrap w:val="0"/>
            <w:vAlign w:val="center"/>
          </w:tcPr>
          <w:p w14:paraId="4F74597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960" w:type="dxa"/>
            <w:noWrap w:val="0"/>
            <w:vAlign w:val="center"/>
          </w:tcPr>
          <w:p w14:paraId="7476EB9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685" w:type="dxa"/>
            <w:noWrap w:val="0"/>
            <w:vAlign w:val="center"/>
          </w:tcPr>
          <w:p w14:paraId="0DD58C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rPr>
              <w:t>品牌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制造商</w:t>
            </w:r>
          </w:p>
        </w:tc>
        <w:tc>
          <w:tcPr>
            <w:tcW w:w="1458" w:type="dxa"/>
            <w:noWrap w:val="0"/>
            <w:vAlign w:val="center"/>
          </w:tcPr>
          <w:p w14:paraId="2BDDC0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规格型号</w:t>
            </w:r>
          </w:p>
        </w:tc>
        <w:tc>
          <w:tcPr>
            <w:tcW w:w="1064" w:type="dxa"/>
            <w:noWrap w:val="0"/>
            <w:vAlign w:val="center"/>
          </w:tcPr>
          <w:p w14:paraId="4DC484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数量</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个</w:t>
            </w:r>
            <w:r>
              <w:rPr>
                <w:rFonts w:hint="eastAsia" w:ascii="仿宋" w:hAnsi="仿宋" w:eastAsia="仿宋" w:cs="仿宋"/>
                <w:color w:val="auto"/>
                <w:szCs w:val="24"/>
                <w:highlight w:val="none"/>
                <w:lang w:eastAsia="zh-CN"/>
              </w:rPr>
              <w:t>）</w:t>
            </w:r>
          </w:p>
        </w:tc>
        <w:tc>
          <w:tcPr>
            <w:tcW w:w="1173" w:type="dxa"/>
            <w:noWrap w:val="0"/>
            <w:vAlign w:val="center"/>
          </w:tcPr>
          <w:p w14:paraId="4E27EB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w:t>
            </w:r>
          </w:p>
          <w:p w14:paraId="0BC492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c>
          <w:tcPr>
            <w:tcW w:w="1328" w:type="dxa"/>
            <w:noWrap w:val="0"/>
            <w:vAlign w:val="center"/>
          </w:tcPr>
          <w:p w14:paraId="1DF1D6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合计</w:t>
            </w:r>
          </w:p>
          <w:p w14:paraId="2514557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r>
      <w:tr w14:paraId="1DD1B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3D982C7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440D92F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015A61B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275070A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411C177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7C80C6D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35A319D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r w14:paraId="65A4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6CA26A3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1B952F79">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1E5F3F0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48B8468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5204DA11">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398EBA3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281A174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bl>
    <w:p w14:paraId="08F63DA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bookmarkEnd w:id="4"/>
      <w:bookmarkEnd w:id="5"/>
      <w:r>
        <w:rPr>
          <w:rFonts w:hint="eastAsia" w:ascii="仿宋" w:hAnsi="仿宋" w:eastAsia="仿宋" w:cs="仿宋"/>
          <w:color w:val="auto"/>
          <w:sz w:val="24"/>
          <w:szCs w:val="24"/>
          <w:highlight w:val="none"/>
          <w:lang w:val="en-US" w:eastAsia="zh-CN"/>
        </w:rPr>
        <w:t>合同价款</w:t>
      </w:r>
    </w:p>
    <w:p w14:paraId="63301F9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①合同总价款为人民币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643D665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②合同总价包括：设备（产品）费、安装调试费、运杂费（含保险）、仓储保管费、技术培训费、质保期维护、招标代理服务费、税金等其他一切相关费用。</w:t>
      </w:r>
    </w:p>
    <w:p w14:paraId="1EFDE68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3E3B0BF7">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580A699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4E9B15B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11FADEF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319691FF">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bookmarkStart w:id="6" w:name="_Toc1825"/>
      <w:bookmarkStart w:id="7" w:name="_Toc30795"/>
      <w:r>
        <w:rPr>
          <w:rFonts w:hint="eastAsia" w:ascii="仿宋" w:hAnsi="仿宋" w:eastAsia="仿宋" w:cs="仿宋"/>
          <w:b w:val="0"/>
          <w:bCs/>
          <w:color w:val="auto"/>
          <w:sz w:val="24"/>
          <w:szCs w:val="24"/>
          <w:highlight w:val="none"/>
        </w:rPr>
        <w:t>全部货物到达采购人指定地点并安装验收合格后，10个工作日内一次性支付合同总金额的 100.00%</w:t>
      </w:r>
      <w:bookmarkStart w:id="14" w:name="_GoBack"/>
      <w:bookmarkEnd w:id="14"/>
      <w:r>
        <w:rPr>
          <w:rFonts w:hint="eastAsia" w:ascii="仿宋" w:hAnsi="仿宋" w:eastAsia="仿宋" w:cs="仿宋"/>
          <w:b w:val="0"/>
          <w:bCs/>
          <w:color w:val="auto"/>
          <w:sz w:val="24"/>
          <w:szCs w:val="24"/>
          <w:highlight w:val="none"/>
        </w:rPr>
        <w:t>。</w:t>
      </w:r>
    </w:p>
    <w:p w14:paraId="7DD995B3">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bookmarkEnd w:id="6"/>
      <w:bookmarkEnd w:id="7"/>
    </w:p>
    <w:p w14:paraId="68D88AE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5DD22B32">
      <w:pPr>
        <w:pStyle w:val="3"/>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交货期：自中标通知书发布之日起10天内送货。</w:t>
      </w:r>
    </w:p>
    <w:p w14:paraId="6A7F490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w:t>
      </w:r>
      <w:bookmarkStart w:id="8" w:name="_Toc5462"/>
      <w:bookmarkStart w:id="9" w:name="_Toc12534"/>
      <w:r>
        <w:rPr>
          <w:rFonts w:hint="eastAsia" w:ascii="仿宋" w:hAnsi="仿宋" w:eastAsia="仿宋" w:cs="仿宋"/>
          <w:color w:val="auto"/>
          <w:kern w:val="2"/>
          <w:sz w:val="24"/>
          <w:szCs w:val="24"/>
          <w:highlight w:val="none"/>
          <w:lang w:val="en-US" w:eastAsia="zh-CN" w:bidi="ar-SA"/>
        </w:rPr>
        <w:t>验收合格后2年</w:t>
      </w:r>
      <w:r>
        <w:rPr>
          <w:rFonts w:hint="eastAsia" w:ascii="仿宋" w:hAnsi="仿宋" w:eastAsia="仿宋" w:cs="仿宋"/>
          <w:color w:val="000000"/>
          <w:sz w:val="24"/>
          <w:szCs w:val="24"/>
          <w:highlight w:val="none"/>
          <w:lang w:val="en-US" w:eastAsia="zh-CN"/>
        </w:rPr>
        <w:t>。</w:t>
      </w:r>
    </w:p>
    <w:p w14:paraId="7A604E5B">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bookmarkEnd w:id="8"/>
      <w:bookmarkEnd w:id="9"/>
    </w:p>
    <w:p w14:paraId="6A9CF5C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70685AD3">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bookmarkStart w:id="10" w:name="_Toc10021"/>
      <w:bookmarkStart w:id="11" w:name="_Toc2397"/>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bookmarkEnd w:id="10"/>
      <w:bookmarkEnd w:id="11"/>
    </w:p>
    <w:p w14:paraId="3119F45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18A5941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124AC345">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bookmarkStart w:id="12" w:name="_Toc14374"/>
      <w:bookmarkStart w:id="13" w:name="_Toc17760"/>
      <w:r>
        <w:rPr>
          <w:rFonts w:hint="eastAsia" w:ascii="仿宋" w:hAnsi="仿宋" w:eastAsia="仿宋" w:cs="仿宋"/>
          <w:b/>
          <w:color w:val="auto"/>
          <w:sz w:val="24"/>
          <w:szCs w:val="24"/>
          <w:highlight w:val="none"/>
        </w:rPr>
        <w:t>第五条：双方权利及义务</w:t>
      </w:r>
      <w:bookmarkEnd w:id="12"/>
      <w:bookmarkEnd w:id="13"/>
    </w:p>
    <w:p w14:paraId="0AFA60E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3812804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3F85010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36593DC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628E6D6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73B9BB5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261370C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34B5D92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78B285C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4E2E2A2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60C2DE9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0FBF9A5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10ED8E6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32F50B73">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2C4B550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5EBEDB8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3911246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2EE12C6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67822FA8">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2CADA1F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年。</w:t>
      </w:r>
    </w:p>
    <w:p w14:paraId="01F4A22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7DCA2F11">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352B07F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4ABB3549">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0A01D41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7404A44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7414BC9D">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7A2C7AC7">
      <w:pPr>
        <w:keepNext w:val="0"/>
        <w:keepLines w:val="0"/>
        <w:pageBreakBefore w:val="0"/>
        <w:numPr>
          <w:ilvl w:val="0"/>
          <w:numId w:val="1"/>
        </w:numP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4422A00B">
      <w:pPr>
        <w:keepNext w:val="0"/>
        <w:keepLines w:val="0"/>
        <w:pageBreakBefore w:val="0"/>
        <w:numPr>
          <w:ilvl w:val="0"/>
          <w:numId w:val="1"/>
        </w:numP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供应商应</w:t>
      </w:r>
      <w:r>
        <w:rPr>
          <w:rFonts w:hint="eastAsia" w:ascii="仿宋" w:hAnsi="仿宋" w:eastAsia="仿宋" w:cs="仿宋"/>
          <w:color w:val="auto"/>
          <w:sz w:val="24"/>
          <w:szCs w:val="24"/>
          <w:highlight w:val="none"/>
        </w:rPr>
        <w:t>自中标通知书发布之日起10天内送货，超过10天</w:t>
      </w:r>
      <w:r>
        <w:rPr>
          <w:rFonts w:hint="eastAsia" w:ascii="仿宋" w:hAnsi="仿宋" w:eastAsia="仿宋" w:cs="仿宋"/>
          <w:color w:val="auto"/>
          <w:sz w:val="24"/>
          <w:szCs w:val="24"/>
          <w:highlight w:val="none"/>
          <w:lang w:val="en-US" w:eastAsia="zh-CN"/>
        </w:rPr>
        <w:t>未按照要求送货的</w:t>
      </w:r>
      <w:r>
        <w:rPr>
          <w:rFonts w:hint="eastAsia" w:ascii="仿宋" w:hAnsi="仿宋" w:eastAsia="仿宋" w:cs="仿宋"/>
          <w:color w:val="auto"/>
          <w:sz w:val="24"/>
          <w:szCs w:val="24"/>
          <w:highlight w:val="none"/>
        </w:rPr>
        <w:t>每</w:t>
      </w:r>
      <w:r>
        <w:rPr>
          <w:rFonts w:hint="eastAsia" w:ascii="仿宋" w:hAnsi="仿宋" w:eastAsia="仿宋" w:cs="仿宋"/>
          <w:color w:val="auto"/>
          <w:sz w:val="24"/>
          <w:szCs w:val="24"/>
          <w:highlight w:val="none"/>
          <w:lang w:val="en-US" w:eastAsia="zh-CN"/>
        </w:rPr>
        <w:t>增加一天</w:t>
      </w:r>
      <w:r>
        <w:rPr>
          <w:rFonts w:hint="eastAsia" w:ascii="仿宋" w:hAnsi="仿宋" w:eastAsia="仿宋" w:cs="仿宋"/>
          <w:color w:val="auto"/>
          <w:sz w:val="24"/>
          <w:szCs w:val="24"/>
          <w:highlight w:val="none"/>
        </w:rPr>
        <w:t>扣除</w:t>
      </w:r>
      <w:r>
        <w:rPr>
          <w:rFonts w:hint="eastAsia" w:ascii="仿宋" w:hAnsi="仿宋" w:eastAsia="仿宋" w:cs="仿宋"/>
          <w:color w:val="auto"/>
          <w:sz w:val="24"/>
          <w:szCs w:val="24"/>
          <w:highlight w:val="none"/>
          <w:lang w:val="en-US" w:eastAsia="zh-CN"/>
        </w:rPr>
        <w:t>合同金额的</w:t>
      </w:r>
      <w:r>
        <w:rPr>
          <w:rFonts w:hint="eastAsia" w:ascii="仿宋" w:hAnsi="仿宋" w:eastAsia="仿宋" w:cs="仿宋"/>
          <w:color w:val="auto"/>
          <w:sz w:val="24"/>
          <w:szCs w:val="24"/>
          <w:highlight w:val="none"/>
        </w:rPr>
        <w:t>千分之</w:t>
      </w:r>
      <w:r>
        <w:rPr>
          <w:rFonts w:hint="eastAsia" w:ascii="仿宋" w:hAnsi="仿宋" w:eastAsia="仿宋" w:cs="仿宋"/>
          <w:color w:val="auto"/>
          <w:sz w:val="24"/>
          <w:szCs w:val="24"/>
          <w:highlight w:val="none"/>
          <w:lang w:val="en-US" w:eastAsia="zh-CN"/>
        </w:rPr>
        <w:t>二作为</w:t>
      </w:r>
      <w:r>
        <w:rPr>
          <w:rFonts w:hint="eastAsia" w:ascii="仿宋" w:hAnsi="仿宋" w:eastAsia="仿宋" w:cs="仿宋"/>
          <w:color w:val="auto"/>
          <w:sz w:val="24"/>
          <w:szCs w:val="24"/>
          <w:highlight w:val="none"/>
        </w:rPr>
        <w:t>违约金，超过15天</w:t>
      </w:r>
      <w:r>
        <w:rPr>
          <w:rFonts w:hint="eastAsia" w:ascii="仿宋" w:hAnsi="仿宋" w:eastAsia="仿宋" w:cs="仿宋"/>
          <w:color w:val="auto"/>
          <w:sz w:val="24"/>
          <w:szCs w:val="24"/>
          <w:highlight w:val="none"/>
          <w:lang w:val="en-US" w:eastAsia="zh-CN"/>
        </w:rPr>
        <w:t>未送货的甲方有权利单方面解除合同</w:t>
      </w:r>
      <w:r>
        <w:rPr>
          <w:rFonts w:hint="eastAsia" w:ascii="仿宋" w:hAnsi="仿宋" w:eastAsia="仿宋" w:cs="仿宋"/>
          <w:color w:val="auto"/>
          <w:sz w:val="24"/>
          <w:szCs w:val="24"/>
          <w:highlight w:val="none"/>
        </w:rPr>
        <w:t>。</w:t>
      </w:r>
    </w:p>
    <w:p w14:paraId="18FB494E">
      <w:pPr>
        <w:keepNext w:val="0"/>
        <w:keepLines w:val="0"/>
        <w:pageBreakBefore w:val="0"/>
        <w:numPr>
          <w:ilvl w:val="0"/>
          <w:numId w:val="1"/>
        </w:numP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甲方的意见，</w:t>
      </w:r>
    </w:p>
    <w:p w14:paraId="55038E56">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0056C44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0250844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361226E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74C5836C">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700BFC0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1F611CC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17A3D56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54A1001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43B33B4C">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78FC2A0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F397ABA">
      <w:pPr>
        <w:pStyle w:val="5"/>
        <w:rPr>
          <w:rFonts w:hint="eastAsia" w:ascii="仿宋" w:hAnsi="仿宋" w:eastAsia="仿宋" w:cs="仿宋"/>
          <w:color w:val="auto"/>
        </w:rPr>
      </w:pPr>
    </w:p>
    <w:p w14:paraId="391F4F7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4F957059">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7044537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72A75082">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5E3BC81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71AA286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06EB1A79">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09570759">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45094F97">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4AEB3B25">
      <w:pPr>
        <w:pStyle w:val="11"/>
        <w:rPr>
          <w:rFonts w:hint="eastAsia" w:ascii="仿宋" w:hAnsi="仿宋" w:eastAsia="仿宋" w:cs="仿宋"/>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p>
    <w:p w14:paraId="5ECD73F7">
      <w:pPr>
        <w:pStyle w:val="11"/>
        <w:rPr>
          <w:rFonts w:hint="eastAsia" w:ascii="仿宋" w:hAnsi="仿宋" w:eastAsia="仿宋" w:cs="仿宋"/>
          <w:lang w:val="en-US" w:eastAsia="zh-Hans"/>
        </w:rPr>
      </w:pPr>
      <w:r>
        <w:rPr>
          <w:rFonts w:hint="eastAsia" w:ascii="仿宋" w:hAnsi="仿宋" w:eastAsia="仿宋" w:cs="仿宋"/>
        </w:rPr>
        <w:t xml:space="preserve"> </w:t>
      </w:r>
      <w:r>
        <w:rPr>
          <w:rFonts w:hint="eastAsia" w:ascii="仿宋" w:hAnsi="仿宋" w:eastAsia="仿宋" w:cs="仿宋"/>
        </w:rPr>
        <w:br w:type="textWrapping"/>
      </w:r>
    </w:p>
    <w:p w14:paraId="4E853871"/>
    <w:p w14:paraId="1DFDC026">
      <w:pPr>
        <w:pStyle w:val="11"/>
        <w:rPr>
          <w:rFonts w:hint="eastAsia" w:ascii="仿宋" w:hAnsi="仿宋" w:eastAsia="仿宋" w:cs="仿宋"/>
          <w:lang w:val="en-US" w:eastAsia="zh-Hans"/>
        </w:rPr>
      </w:pPr>
    </w:p>
    <w:p w14:paraId="66330E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F8F117"/>
    <w:multiLevelType w:val="singleLevel"/>
    <w:tmpl w:val="3EF8F11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6C6300"/>
    <w:rsid w:val="066C6300"/>
    <w:rsid w:val="1AC6628D"/>
    <w:rsid w:val="31812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9"/>
    <w:qFormat/>
    <w:uiPriority w:val="0"/>
    <w:pPr>
      <w:keepNext/>
      <w:keepLines/>
      <w:spacing w:line="360" w:lineRule="auto"/>
      <w:jc w:val="center"/>
      <w:outlineLvl w:val="0"/>
    </w:pPr>
    <w:rPr>
      <w:rFonts w:ascii="Times New Roman" w:hAnsi="Times New Roman" w:eastAsia="宋体"/>
      <w:b/>
      <w:kern w:val="44"/>
      <w:sz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99"/>
    <w:pPr>
      <w:jc w:val="left"/>
    </w:pPr>
    <w:rPr>
      <w:rFonts w:ascii="Copperplate Gothic Bold" w:hAnsi="Copperplate Gothic Bold"/>
      <w:sz w:val="28"/>
    </w:rPr>
  </w:style>
  <w:style w:type="paragraph" w:styleId="5">
    <w:name w:val="Normal Indent"/>
    <w:basedOn w:val="1"/>
    <w:next w:val="6"/>
    <w:unhideWhenUsed/>
    <w:qFormat/>
    <w:uiPriority w:val="99"/>
    <w:pPr>
      <w:spacing w:line="300" w:lineRule="auto"/>
      <w:ind w:firstLine="420" w:firstLineChars="200"/>
    </w:pPr>
    <w:rPr>
      <w:rFonts w:ascii="Times New Roman"/>
      <w:kern w:val="2"/>
      <w:sz w:val="21"/>
      <w:szCs w:val="24"/>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 Char Char5"/>
    <w:link w:val="4"/>
    <w:uiPriority w:val="0"/>
    <w:rPr>
      <w:rFonts w:ascii="Times New Roman" w:hAnsi="Times New Roman" w:eastAsia="宋体"/>
      <w:b/>
      <w:kern w:val="44"/>
      <w:sz w:val="44"/>
    </w:rPr>
  </w:style>
  <w:style w:type="paragraph" w:customStyle="1" w:styleId="10">
    <w:name w:val="List Paragraph1"/>
    <w:basedOn w:val="1"/>
    <w:qFormat/>
    <w:uiPriority w:val="34"/>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3028</Words>
  <Characters>3081</Characters>
  <Lines>0</Lines>
  <Paragraphs>0</Paragraphs>
  <TotalTime>0</TotalTime>
  <ScaleCrop>false</ScaleCrop>
  <LinksUpToDate>false</LinksUpToDate>
  <CharactersWithSpaces>3353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2025-07-28T08:45:00Z</dcterms:created>
  <dc:creator>墨瞳</dc:creator>
  <cp:lastModifiedBy>墨瞳</cp:lastModifiedBy>
  <dcterms:modified xsi:type="dcterms:W3CDTF">2025-07-28T09:18:16Z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1779D576793F4B30B4A2E52B00E07F65_11</vt:lpwstr>
  </property>
  <property fmtid="{D5CDD505-2E9C-101B-9397-08002B2CF9AE}" pid="4" name="KSOTemplateDocerSaveRecord">
    <vt:lpwstr>eyJoZGlkIjoiM2RhNGUzMWE0ZGY4ZTM5NTU5YjA1OGY3MzU5Y2Q1YjQiLCJ1c2VySWQiOiIyMjc2NzU3NzIifQ==</vt:lpwstr>
  </property>
</Properties>
</file>