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版本号：0617-2511GZ199620250731001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操场改造维修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0617-2511GZ1996</w:t>
      </w:r>
      <w:r>
        <w:br/>
      </w:r>
      <w:r>
        <w:br/>
      </w:r>
      <w:r>
        <w:br/>
      </w:r>
    </w:p>
    <w:p>
      <w:pPr>
        <w:pStyle w:val="null3"/>
        <w:jc w:val="center"/>
        <w:outlineLvl w:val="2"/>
      </w:pPr>
      <w:r>
        <w:rPr>
          <w:rFonts w:ascii="仿宋_GB2312" w:hAnsi="仿宋_GB2312" w:cs="仿宋_GB2312" w:eastAsia="仿宋_GB2312"/>
          <w:sz w:val="28"/>
          <w:b/>
        </w:rPr>
        <w:t>西安市第九十八中学</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西安市第九十八中学</w:t>
      </w:r>
      <w:r>
        <w:rPr>
          <w:rFonts w:ascii="仿宋_GB2312" w:hAnsi="仿宋_GB2312" w:cs="仿宋_GB2312" w:eastAsia="仿宋_GB2312"/>
        </w:rPr>
        <w:t>委托，拟对</w:t>
      </w:r>
      <w:r>
        <w:rPr>
          <w:rFonts w:ascii="仿宋_GB2312" w:hAnsi="仿宋_GB2312" w:cs="仿宋_GB2312" w:eastAsia="仿宋_GB2312"/>
        </w:rPr>
        <w:t>操场改造维修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0617-2511GZ1996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操场改造维修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西安市第九十八中学操场改造维修，校内操场拆除原面层及地下锈蚀排水管网，地质勘探并加固、改造上下水系统、新做塑胶面层、人造草皮、塑胶跑道、操场周边墙面粉刷等，面积约6900平方米。</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采购包1（操场改造维修）：属于专门面向中小企业采购。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1、企业资质：具有建筑工程施工总承包三级及以上（含三级）资质；并具有有效的安全生产许可证。</w:t>
      </w:r>
    </w:p>
    <w:p>
      <w:pPr>
        <w:pStyle w:val="null3"/>
      </w:pPr>
      <w:r>
        <w:rPr>
          <w:rFonts w:ascii="仿宋_GB2312" w:hAnsi="仿宋_GB2312" w:cs="仿宋_GB2312" w:eastAsia="仿宋_GB2312"/>
        </w:rPr>
        <w:t>2、拟派项目负责人：拟派项目负责人（项目经理）要求须具备建筑工程专业二级（或以上）注册建造师执业资格，并具有合法有效的安全生产考核合格证（建安B证）；且未担任其他在施建设工程的项目经理。</w:t>
      </w:r>
    </w:p>
    <w:p>
      <w:pPr>
        <w:pStyle w:val="null3"/>
      </w:pPr>
      <w:r>
        <w:rPr>
          <w:rFonts w:ascii="仿宋_GB2312" w:hAnsi="仿宋_GB2312" w:cs="仿宋_GB2312" w:eastAsia="仿宋_GB2312"/>
        </w:rPr>
        <w:t>3、信用信息：供应商不得为“信用中国”网站（www.creditchina.gov.cn）列入失信被执行人、重大税收违法失信主体、政府采购严重违法失信行为记录名单的供应商，不得为“中国政府采购网”（www.ccgp.gov.cn）政府采购严重违法失信行为记录名单中的供应商</w:t>
      </w:r>
    </w:p>
    <w:p>
      <w:pPr>
        <w:pStyle w:val="null3"/>
      </w:pPr>
      <w:r>
        <w:rPr>
          <w:rFonts w:ascii="仿宋_GB2312" w:hAnsi="仿宋_GB2312" w:cs="仿宋_GB2312" w:eastAsia="仿宋_GB2312"/>
        </w:rPr>
        <w:t>4、法定代表人授权委托书：供应商应授权合法的人员参加磋商，其中法定代表人直接参加的，须出具法定代表人证明书；被授权代表参加的，须出具法定代表人授权书及被授权人社保证明（近6个月内任意1个月）。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西安市第九十八中学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陕西省西安市朱雀大街272号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西安市第九十八中学经办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18792681685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贺怡、王森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029-85398605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采购包1：1,121,079.47元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的收费标准。</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西安市第九十八中学</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西安市第九十八中学</w:t>
      </w:r>
      <w:r>
        <w:rPr>
          <w:rFonts w:ascii="仿宋_GB2312" w:hAnsi="仿宋_GB2312" w:cs="仿宋_GB2312" w:eastAsia="仿宋_GB2312"/>
        </w:rPr>
        <w:t>负责解释。除上述磋商文件内容，其他内容由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西安市第九十八中学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地址：西安市南二环西段58号成长大厦12楼 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1,121,079.47</w:t>
      </w:r>
    </w:p>
    <w:p>
      <w:pPr>
        <w:pStyle w:val="null3"/>
      </w:pPr>
      <w:r>
        <w:rPr>
          <w:rFonts w:ascii="仿宋_GB2312" w:hAnsi="仿宋_GB2312" w:cs="仿宋_GB2312" w:eastAsia="仿宋_GB2312"/>
        </w:rPr>
        <w:t>采购包最高限价（元）: 1,121,079.47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1121079.47</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1,121,079.47</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标的名称：1121079.47</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一、项目概况：</w:t>
            </w:r>
          </w:p>
          <w:p>
            <w:pPr>
              <w:pStyle w:val="null3"/>
              <w:ind w:firstLine="480"/>
              <w:jc w:val="both"/>
            </w:pPr>
            <w:r>
              <w:rPr>
                <w:rFonts w:ascii="仿宋_GB2312" w:hAnsi="仿宋_GB2312" w:cs="仿宋_GB2312" w:eastAsia="仿宋_GB2312"/>
                <w:sz w:val="24"/>
              </w:rPr>
              <w:t>工程名称：</w:t>
            </w:r>
            <w:r>
              <w:rPr>
                <w:rFonts w:ascii="仿宋_GB2312" w:hAnsi="仿宋_GB2312" w:cs="仿宋_GB2312" w:eastAsia="仿宋_GB2312"/>
                <w:sz w:val="24"/>
              </w:rPr>
              <w:t>操场改造维修</w:t>
            </w:r>
          </w:p>
          <w:p>
            <w:pPr>
              <w:pStyle w:val="null3"/>
              <w:ind w:firstLine="480"/>
              <w:jc w:val="both"/>
            </w:pPr>
            <w:r>
              <w:rPr>
                <w:rFonts w:ascii="仿宋_GB2312" w:hAnsi="仿宋_GB2312" w:cs="仿宋_GB2312" w:eastAsia="仿宋_GB2312"/>
                <w:sz w:val="24"/>
              </w:rPr>
              <w:t>建设地点：</w:t>
            </w:r>
            <w:r>
              <w:rPr>
                <w:rFonts w:ascii="仿宋_GB2312" w:hAnsi="仿宋_GB2312" w:cs="仿宋_GB2312" w:eastAsia="仿宋_GB2312"/>
                <w:sz w:val="24"/>
              </w:rPr>
              <w:t>西安市第九十八中学</w:t>
            </w:r>
            <w:r>
              <w:rPr>
                <w:rFonts w:ascii="仿宋_GB2312" w:hAnsi="仿宋_GB2312" w:cs="仿宋_GB2312" w:eastAsia="仿宋_GB2312"/>
                <w:sz w:val="24"/>
              </w:rPr>
              <w:t>校内</w:t>
            </w:r>
          </w:p>
          <w:p>
            <w:pPr>
              <w:pStyle w:val="null3"/>
              <w:ind w:firstLine="480"/>
              <w:jc w:val="both"/>
            </w:pPr>
            <w:r>
              <w:rPr>
                <w:rFonts w:ascii="仿宋_GB2312" w:hAnsi="仿宋_GB2312" w:cs="仿宋_GB2312" w:eastAsia="仿宋_GB2312"/>
                <w:sz w:val="24"/>
              </w:rPr>
              <w:t>建设单位：</w:t>
            </w:r>
            <w:r>
              <w:rPr>
                <w:rFonts w:ascii="仿宋_GB2312" w:hAnsi="仿宋_GB2312" w:cs="仿宋_GB2312" w:eastAsia="仿宋_GB2312"/>
                <w:sz w:val="24"/>
              </w:rPr>
              <w:t>西安市第九十八中学</w:t>
            </w:r>
          </w:p>
          <w:p>
            <w:pPr>
              <w:pStyle w:val="null3"/>
              <w:ind w:firstLine="480"/>
              <w:jc w:val="both"/>
            </w:pPr>
            <w:r>
              <w:rPr>
                <w:rFonts w:ascii="仿宋_GB2312" w:hAnsi="仿宋_GB2312" w:cs="仿宋_GB2312" w:eastAsia="仿宋_GB2312"/>
                <w:sz w:val="24"/>
              </w:rPr>
              <w:t>工期：</w:t>
            </w:r>
            <w:r>
              <w:rPr>
                <w:rFonts w:ascii="仿宋_GB2312" w:hAnsi="仿宋_GB2312" w:cs="仿宋_GB2312" w:eastAsia="仿宋_GB2312"/>
                <w:sz w:val="24"/>
              </w:rPr>
              <w:t>30日历日</w:t>
            </w:r>
          </w:p>
          <w:p>
            <w:pPr>
              <w:pStyle w:val="null3"/>
              <w:jc w:val="both"/>
            </w:pPr>
            <w:r>
              <w:rPr>
                <w:rFonts w:ascii="仿宋_GB2312" w:hAnsi="仿宋_GB2312" w:cs="仿宋_GB2312" w:eastAsia="仿宋_GB2312"/>
                <w:sz w:val="24"/>
                <w:b/>
              </w:rPr>
              <w:t>二、采购范围、工程量清单和计价依据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采购范围</w:t>
            </w:r>
            <w:r>
              <w:rPr>
                <w:rFonts w:ascii="仿宋_GB2312" w:hAnsi="仿宋_GB2312" w:cs="仿宋_GB2312" w:eastAsia="仿宋_GB2312"/>
                <w:sz w:val="24"/>
              </w:rPr>
              <w:t>：</w:t>
            </w:r>
            <w:r>
              <w:rPr>
                <w:rFonts w:ascii="仿宋_GB2312" w:hAnsi="仿宋_GB2312" w:cs="仿宋_GB2312" w:eastAsia="仿宋_GB2312"/>
                <w:sz w:val="24"/>
              </w:rPr>
              <w:t>工程量清单所包含的全部内容。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工程量清单（电子版）</w:t>
            </w:r>
            <w:r>
              <w:rPr>
                <w:rFonts w:ascii="仿宋_GB2312" w:hAnsi="仿宋_GB2312" w:cs="仿宋_GB2312" w:eastAsia="仿宋_GB2312"/>
                <w:sz w:val="24"/>
              </w:rPr>
              <w:t>及图纸</w:t>
            </w:r>
            <w:r>
              <w:rPr>
                <w:rFonts w:ascii="仿宋_GB2312" w:hAnsi="仿宋_GB2312" w:cs="仿宋_GB2312" w:eastAsia="仿宋_GB2312"/>
                <w:sz w:val="24"/>
              </w:rPr>
              <w:t>（电子版）</w:t>
            </w:r>
            <w:r>
              <w:rPr>
                <w:rFonts w:ascii="仿宋_GB2312" w:hAnsi="仿宋_GB2312" w:cs="仿宋_GB2312" w:eastAsia="仿宋_GB2312"/>
                <w:sz w:val="24"/>
              </w:rPr>
              <w:t>见附件</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（三）计价依据：</w:t>
            </w:r>
          </w:p>
          <w:p>
            <w:pPr>
              <w:pStyle w:val="null3"/>
              <w:ind w:firstLine="480"/>
              <w:jc w:val="both"/>
            </w:pPr>
            <w:r>
              <w:rPr>
                <w:rFonts w:ascii="仿宋_GB2312" w:hAnsi="仿宋_GB2312" w:cs="仿宋_GB2312" w:eastAsia="仿宋_GB2312"/>
                <w:sz w:val="24"/>
              </w:rPr>
              <w:t>1、《陕西省建设工程工程量清单计价规则》(2009年)。</w:t>
            </w:r>
          </w:p>
          <w:p>
            <w:pPr>
              <w:pStyle w:val="null3"/>
              <w:ind w:firstLine="480"/>
              <w:jc w:val="both"/>
            </w:pPr>
            <w:r>
              <w:rPr>
                <w:rFonts w:ascii="仿宋_GB2312" w:hAnsi="仿宋_GB2312" w:cs="仿宋_GB2312" w:eastAsia="仿宋_GB2312"/>
                <w:sz w:val="24"/>
              </w:rPr>
              <w:t>2、《陕西省建筑、安装、市政、园林、绿化工程消耗量定额（2004）》、《陕西省建设工程工程量清单计价费率（2009）》及其他相关文件。</w:t>
            </w:r>
          </w:p>
          <w:p>
            <w:pPr>
              <w:pStyle w:val="null3"/>
              <w:ind w:firstLine="480"/>
              <w:jc w:val="both"/>
            </w:pPr>
            <w:r>
              <w:rPr>
                <w:rFonts w:ascii="仿宋_GB2312" w:hAnsi="仿宋_GB2312" w:cs="仿宋_GB2312" w:eastAsia="仿宋_GB2312"/>
                <w:sz w:val="24"/>
              </w:rPr>
              <w:t>3、关于调整陕西省建设工程计价依据的通知（陕建发[2019]45号）。</w:t>
            </w:r>
          </w:p>
          <w:p>
            <w:pPr>
              <w:pStyle w:val="null3"/>
              <w:ind w:firstLine="480"/>
              <w:jc w:val="both"/>
            </w:pPr>
            <w:r>
              <w:rPr>
                <w:rFonts w:ascii="仿宋_GB2312" w:hAnsi="仿宋_GB2312" w:cs="仿宋_GB2312" w:eastAsia="仿宋_GB2312"/>
                <w:sz w:val="24"/>
              </w:rPr>
              <w:t>4、关于增加建设工程扬尘治理专项措施费的通知（陕建发〔2017〕270号）。</w:t>
            </w:r>
          </w:p>
          <w:p>
            <w:pPr>
              <w:pStyle w:val="null3"/>
              <w:ind w:firstLine="480"/>
              <w:jc w:val="both"/>
            </w:pPr>
            <w:r>
              <w:rPr>
                <w:rFonts w:ascii="仿宋_GB2312" w:hAnsi="仿宋_GB2312" w:cs="仿宋_GB2312" w:eastAsia="仿宋_GB2312"/>
                <w:sz w:val="24"/>
              </w:rPr>
              <w:t>5、关于建筑工人实名制管理计价依据的通知（陕建发[2019]1246号）。</w:t>
            </w:r>
          </w:p>
          <w:p>
            <w:pPr>
              <w:pStyle w:val="null3"/>
              <w:ind w:firstLine="480"/>
              <w:jc w:val="both"/>
            </w:pPr>
            <w:r>
              <w:rPr>
                <w:rFonts w:ascii="仿宋_GB2312" w:hAnsi="仿宋_GB2312" w:cs="仿宋_GB2312" w:eastAsia="仿宋_GB2312"/>
                <w:sz w:val="24"/>
              </w:rPr>
              <w:t>6、关于全省统一停止收缴建筑业劳保费用的通知（陕建发[2021]1021号）文件及其他相关的计价依据。</w:t>
            </w:r>
          </w:p>
          <w:p>
            <w:pPr>
              <w:pStyle w:val="null3"/>
              <w:ind w:firstLine="480"/>
              <w:jc w:val="both"/>
            </w:pPr>
            <w:r>
              <w:rPr>
                <w:rFonts w:ascii="仿宋_GB2312" w:hAnsi="仿宋_GB2312" w:cs="仿宋_GB2312" w:eastAsia="仿宋_GB2312"/>
                <w:sz w:val="24"/>
              </w:rPr>
              <w:t>7、与本工程有关的标准文件（包括标准图集）、规范、技术资料等。</w:t>
            </w:r>
          </w:p>
          <w:p>
            <w:pPr>
              <w:pStyle w:val="null3"/>
              <w:ind w:firstLine="480"/>
              <w:jc w:val="both"/>
            </w:pPr>
            <w:r>
              <w:rPr>
                <w:rFonts w:ascii="仿宋_GB2312" w:hAnsi="仿宋_GB2312" w:cs="仿宋_GB2312" w:eastAsia="仿宋_GB2312"/>
                <w:sz w:val="24"/>
              </w:rPr>
              <w:t>8、施工现场情况、工程特点及常规施工方案。</w:t>
            </w:r>
          </w:p>
          <w:p>
            <w:pPr>
              <w:pStyle w:val="null3"/>
              <w:ind w:firstLine="480"/>
              <w:jc w:val="both"/>
            </w:pPr>
            <w:r>
              <w:rPr>
                <w:rFonts w:ascii="仿宋_GB2312" w:hAnsi="仿宋_GB2312" w:cs="仿宋_GB2312" w:eastAsia="仿宋_GB2312"/>
                <w:sz w:val="24"/>
              </w:rPr>
              <w:t>9、建设单位提供的工程量清单编制要求。</w:t>
            </w:r>
          </w:p>
          <w:p>
            <w:pPr>
              <w:pStyle w:val="null3"/>
              <w:ind w:firstLine="480"/>
              <w:jc w:val="both"/>
            </w:pPr>
            <w:r>
              <w:rPr>
                <w:rFonts w:ascii="仿宋_GB2312" w:hAnsi="仿宋_GB2312" w:cs="仿宋_GB2312" w:eastAsia="仿宋_GB2312"/>
                <w:sz w:val="24"/>
              </w:rPr>
              <w:t>10、西安市第九十八中学操场改造维修施工图。</w:t>
            </w:r>
          </w:p>
          <w:p>
            <w:pPr>
              <w:pStyle w:val="null3"/>
              <w:ind w:firstLine="480"/>
              <w:jc w:val="both"/>
            </w:pPr>
            <w:r>
              <w:rPr>
                <w:rFonts w:ascii="仿宋_GB2312" w:hAnsi="仿宋_GB2312" w:cs="仿宋_GB2312" w:eastAsia="仿宋_GB2312"/>
                <w:sz w:val="24"/>
              </w:rPr>
              <w:t>11、税金依据陕建发[2019]45号文件规定的增值税税率9%执行。</w:t>
            </w:r>
          </w:p>
          <w:p>
            <w:pPr>
              <w:pStyle w:val="null3"/>
              <w:ind w:firstLine="480"/>
              <w:jc w:val="both"/>
            </w:pPr>
            <w:r>
              <w:rPr>
                <w:rFonts w:ascii="仿宋_GB2312" w:hAnsi="仿宋_GB2312" w:cs="仿宋_GB2312" w:eastAsia="仿宋_GB2312"/>
                <w:sz w:val="24"/>
              </w:rPr>
              <w:t>12、养老保险计入工程造价中。</w:t>
            </w:r>
          </w:p>
          <w:p>
            <w:pPr>
              <w:pStyle w:val="null3"/>
              <w:ind w:firstLine="480"/>
              <w:jc w:val="both"/>
            </w:pPr>
            <w:r>
              <w:rPr>
                <w:rFonts w:ascii="仿宋_GB2312" w:hAnsi="仿宋_GB2312" w:cs="仿宋_GB2312" w:eastAsia="仿宋_GB2312"/>
                <w:sz w:val="24"/>
              </w:rPr>
              <w:t>13、本工程量清单采用广联达计价软件GCCP7.0（版本：7.5000.23.1）编制。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四</w:t>
            </w:r>
            <w:r>
              <w:rPr>
                <w:rFonts w:ascii="仿宋_GB2312" w:hAnsi="仿宋_GB2312" w:cs="仿宋_GB2312" w:eastAsia="仿宋_GB2312"/>
                <w:sz w:val="24"/>
              </w:rPr>
              <w:t>）</w:t>
            </w:r>
            <w:r>
              <w:rPr>
                <w:rFonts w:ascii="仿宋_GB2312" w:hAnsi="仿宋_GB2312" w:cs="仿宋_GB2312" w:eastAsia="仿宋_GB2312"/>
                <w:sz w:val="24"/>
              </w:rPr>
              <w:t>质量要求：达到国家现行行业施工验收规范</w:t>
            </w:r>
            <w:r>
              <w:rPr>
                <w:rFonts w:ascii="仿宋_GB2312" w:hAnsi="仿宋_GB2312" w:cs="仿宋_GB2312" w:eastAsia="仿宋_GB2312"/>
                <w:sz w:val="24"/>
              </w:rPr>
              <w:t>“合格”标准。</w:t>
            </w:r>
          </w:p>
          <w:p>
            <w:pPr>
              <w:pStyle w:val="null3"/>
              <w:jc w:val="both"/>
            </w:pPr>
            <w:r>
              <w:rPr>
                <w:rFonts w:ascii="仿宋_GB2312" w:hAnsi="仿宋_GB2312" w:cs="仿宋_GB2312" w:eastAsia="仿宋_GB2312"/>
                <w:sz w:val="24"/>
                <w:b/>
              </w:rPr>
              <w:t>三、采购要求</w:t>
            </w:r>
          </w:p>
          <w:p>
            <w:pPr>
              <w:pStyle w:val="null3"/>
              <w:ind w:firstLine="482"/>
              <w:jc w:val="both"/>
            </w:pPr>
            <w:r>
              <w:rPr>
                <w:rFonts w:ascii="仿宋_GB2312" w:hAnsi="仿宋_GB2312" w:cs="仿宋_GB2312" w:eastAsia="仿宋_GB2312"/>
                <w:sz w:val="24"/>
                <w:b/>
              </w:rPr>
              <w:t>1、总则</w:t>
            </w:r>
          </w:p>
          <w:p>
            <w:pPr>
              <w:pStyle w:val="null3"/>
              <w:ind w:firstLine="480"/>
              <w:jc w:val="both"/>
            </w:pPr>
            <w:r>
              <w:rPr>
                <w:rFonts w:ascii="仿宋_GB2312" w:hAnsi="仿宋_GB2312" w:cs="仿宋_GB2312" w:eastAsia="仿宋_GB2312"/>
                <w:sz w:val="24"/>
              </w:rPr>
              <w:t>1.1 本工作范围描述的工作只是概括性的，不应认为是全面的、无缺的，但并不限于或排除从合同文本（法规）或根据实际情况，有经验的承包人可以推断的为完成一个完整工程所需要的全部工作。</w:t>
            </w:r>
          </w:p>
          <w:p>
            <w:pPr>
              <w:pStyle w:val="null3"/>
              <w:ind w:firstLine="480"/>
              <w:jc w:val="both"/>
            </w:pPr>
            <w:r>
              <w:rPr>
                <w:rFonts w:ascii="仿宋_GB2312" w:hAnsi="仿宋_GB2312" w:cs="仿宋_GB2312" w:eastAsia="仿宋_GB2312"/>
                <w:sz w:val="24"/>
              </w:rPr>
              <w:t>1.2 承包人应该提供其完成合同约定内容所需要的人工、材料、加工场所、工具、设备、放线、测量和布置、监督管理以及外运、成品保护、修补缺陷以及为完成承包工程所包括的所有工作内容。</w:t>
            </w:r>
          </w:p>
          <w:p>
            <w:pPr>
              <w:pStyle w:val="null3"/>
              <w:ind w:firstLine="480"/>
              <w:jc w:val="both"/>
            </w:pPr>
            <w:r>
              <w:rPr>
                <w:rFonts w:ascii="仿宋_GB2312" w:hAnsi="仿宋_GB2312" w:cs="仿宋_GB2312" w:eastAsia="仿宋_GB2312"/>
                <w:sz w:val="24"/>
              </w:rPr>
              <w:t>1.3 承包人在具体实施工程过程中，应采取必要措施对学校现有工程及设施设备进行保护，以防施工过程造成污染或损毁。如因承包人原因造成已有设施设备损坏的，将承担相应经济责任。</w:t>
            </w:r>
          </w:p>
          <w:p>
            <w:pPr>
              <w:pStyle w:val="null3"/>
              <w:ind w:firstLine="480"/>
              <w:jc w:val="both"/>
            </w:pPr>
            <w:r>
              <w:rPr>
                <w:rFonts w:ascii="仿宋_GB2312" w:hAnsi="仿宋_GB2312" w:cs="仿宋_GB2312" w:eastAsia="仿宋_GB2312"/>
                <w:sz w:val="24"/>
              </w:rPr>
              <w:t>1.4 承包人被视为已详细踏勘了工程现场、研究了有关本工程采购的所有文件（包括但不限于施工规范、合同条款、施工现场条件等）。</w:t>
            </w:r>
          </w:p>
          <w:p>
            <w:pPr>
              <w:pStyle w:val="null3"/>
              <w:ind w:firstLine="482"/>
              <w:jc w:val="both"/>
            </w:pPr>
            <w:r>
              <w:rPr>
                <w:rFonts w:ascii="仿宋_GB2312" w:hAnsi="仿宋_GB2312" w:cs="仿宋_GB2312" w:eastAsia="仿宋_GB2312"/>
                <w:sz w:val="24"/>
                <w:b/>
              </w:rPr>
              <w:t>2、采购人发包要求</w:t>
            </w:r>
          </w:p>
          <w:p>
            <w:pPr>
              <w:pStyle w:val="null3"/>
              <w:ind w:firstLine="480"/>
              <w:jc w:val="both"/>
            </w:pPr>
            <w:r>
              <w:rPr>
                <w:rFonts w:ascii="仿宋_GB2312" w:hAnsi="仿宋_GB2312" w:cs="仿宋_GB2312" w:eastAsia="仿宋_GB2312"/>
                <w:sz w:val="24"/>
              </w:rPr>
              <w:t>2.1 采购人提供工程的平面图纸等相关技术文件（见附件，单独提供），是采购人现有的能被供应商利用的资料，采购人对供应商做出的任何推论、理解均不负责任。</w:t>
            </w:r>
          </w:p>
          <w:p>
            <w:pPr>
              <w:pStyle w:val="null3"/>
              <w:ind w:firstLine="480"/>
              <w:jc w:val="both"/>
            </w:pPr>
            <w:r>
              <w:rPr>
                <w:rFonts w:ascii="仿宋_GB2312" w:hAnsi="仿宋_GB2312" w:cs="仿宋_GB2312" w:eastAsia="仿宋_GB2312"/>
                <w:sz w:val="24"/>
              </w:rPr>
              <w:t>2.2 供应商应先到工地踏勘以充分了解工地位置、地质情况、进出场道路、拆迁干扰、储存空间、运输能力、装卸限制、行车干扰及任何其它足以影响承包价格的情况，了解图纸、施工规范、标准以及施工现场实际等情况，并应考虑现有人、材、机市场水平和供应、风险、不利的施工因素等，任何因忽视或误解工地情况而导致的索赔或工期延长申请将不获批准。特别提醒，采购人不组织现场勘察，不承担任何勘察费用。</w:t>
            </w:r>
          </w:p>
          <w:p>
            <w:pPr>
              <w:pStyle w:val="null3"/>
              <w:ind w:firstLine="480"/>
              <w:jc w:val="both"/>
            </w:pPr>
            <w:r>
              <w:rPr>
                <w:rFonts w:ascii="仿宋_GB2312" w:hAnsi="仿宋_GB2312" w:cs="仿宋_GB2312" w:eastAsia="仿宋_GB2312"/>
                <w:sz w:val="24"/>
              </w:rPr>
              <w:t>2.3 报价应为按照采购文件规定、完成采购范围内的全部费用，包括但不限于完成工作的成本、利润、税金、措施费、二次搬运、大型机械进出场费、风险费以及政策性文件规定费用等，不得以任何理由予以重复计算。施工现场各种不利因素（如施工周围协调费等）均应由承包商承担并包含在相应的报价中，结算时一律不再作调整。供应商的总报价应与响应函中填写的报价必须一致。所有单价、合价均应保留两位小数。</w:t>
            </w:r>
          </w:p>
          <w:p>
            <w:pPr>
              <w:pStyle w:val="null3"/>
              <w:ind w:firstLine="480"/>
              <w:jc w:val="both"/>
            </w:pPr>
            <w:r>
              <w:rPr>
                <w:rFonts w:ascii="仿宋_GB2312" w:hAnsi="仿宋_GB2312" w:cs="仿宋_GB2312" w:eastAsia="仿宋_GB2312"/>
                <w:sz w:val="24"/>
              </w:rPr>
              <w:t>2.4 竣工验收时必须达到所承诺的工期和质量标准。若竣工验收时工程质量和工期未达到磋商响应时承诺的质量标准和工期，视同供应商违约。</w:t>
            </w:r>
          </w:p>
          <w:p>
            <w:pPr>
              <w:pStyle w:val="null3"/>
              <w:ind w:firstLine="480"/>
              <w:jc w:val="both"/>
            </w:pPr>
            <w:r>
              <w:rPr>
                <w:rFonts w:ascii="仿宋_GB2312" w:hAnsi="仿宋_GB2312" w:cs="仿宋_GB2312" w:eastAsia="仿宋_GB2312"/>
                <w:sz w:val="24"/>
              </w:rPr>
              <w:t>2.5 合同价款采用固定总价合同方式确定。合同价款包含工程的施工费用、管理费及税金后的所有费用。</w:t>
            </w:r>
          </w:p>
          <w:p>
            <w:pPr>
              <w:pStyle w:val="null3"/>
              <w:ind w:firstLine="480"/>
              <w:jc w:val="both"/>
            </w:pPr>
            <w:r>
              <w:rPr>
                <w:rFonts w:ascii="仿宋_GB2312" w:hAnsi="仿宋_GB2312" w:cs="仿宋_GB2312" w:eastAsia="仿宋_GB2312"/>
                <w:sz w:val="24"/>
              </w:rPr>
              <w:t>2.6 采购人认定的不合格材料、设备，供应商必须在 24 小时内清理出场，并按采购人要求重新提供满足要求的材料、设备，费用包含在合同总价中。</w:t>
            </w:r>
          </w:p>
          <w:p>
            <w:pPr>
              <w:pStyle w:val="null3"/>
              <w:ind w:firstLine="480"/>
              <w:jc w:val="both"/>
            </w:pPr>
            <w:r>
              <w:rPr>
                <w:rFonts w:ascii="仿宋_GB2312" w:hAnsi="仿宋_GB2312" w:cs="仿宋_GB2312" w:eastAsia="仿宋_GB2312"/>
                <w:sz w:val="24"/>
              </w:rPr>
              <w:t>3.其他要求</w:t>
            </w:r>
          </w:p>
          <w:p>
            <w:pPr>
              <w:pStyle w:val="null3"/>
              <w:ind w:firstLine="480"/>
              <w:jc w:val="both"/>
            </w:pPr>
            <w:r>
              <w:rPr>
                <w:rFonts w:ascii="仿宋_GB2312" w:hAnsi="仿宋_GB2312" w:cs="仿宋_GB2312" w:eastAsia="仿宋_GB2312"/>
                <w:sz w:val="24"/>
              </w:rPr>
              <w:t>3.1塑胶跑道技术参数及标准要求</w:t>
            </w:r>
          </w:p>
          <w:tbl>
            <w:tblPr>
              <w:tblBorders>
                <w:top w:val="none" w:color="000000" w:sz="4"/>
                <w:left w:val="none" w:color="000000" w:sz="4"/>
                <w:bottom w:val="none" w:color="000000" w:sz="4"/>
                <w:right w:val="none" w:color="000000" w:sz="4"/>
                <w:insideH w:val="none"/>
                <w:insideV w:val="none"/>
              </w:tblBorders>
            </w:tblPr>
            <w:tblGrid>
              <w:gridCol w:w="818"/>
              <w:gridCol w:w="868"/>
              <w:gridCol w:w="868"/>
            </w:tblGrid>
            <w:tr>
              <w:tc>
                <w:tcPr>
                  <w:tcW w:type="dxa" w:w="1686"/>
                  <w:gridSpan w:val="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检验项目</w:t>
                  </w:r>
                </w:p>
              </w:tc>
              <w:tc>
                <w:tcPr>
                  <w:tcW w:type="dxa" w:w="86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标准要求</w:t>
                  </w:r>
                </w:p>
              </w:tc>
            </w:tr>
            <w:tr>
              <w:tc>
                <w:tcPr>
                  <w:tcW w:type="dxa" w:w="1686"/>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垂直变形（</w:t>
                  </w:r>
                  <w:r>
                    <w:rPr>
                      <w:rFonts w:ascii="仿宋_GB2312" w:hAnsi="仿宋_GB2312" w:cs="仿宋_GB2312" w:eastAsia="仿宋_GB2312"/>
                      <w:sz w:val="21"/>
                    </w:rPr>
                    <w:t>mm</w:t>
                  </w:r>
                  <w:r>
                    <w:rPr>
                      <w:rFonts w:ascii="仿宋_GB2312" w:hAnsi="仿宋_GB2312" w:cs="仿宋_GB2312" w:eastAsia="仿宋_GB2312"/>
                      <w:sz w:val="21"/>
                    </w:rPr>
                    <w:t>）</w:t>
                  </w:r>
                </w:p>
              </w:tc>
              <w:tc>
                <w:tcPr>
                  <w:tcW w:type="dxa" w:w="8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0.6～3.0</w:t>
                  </w:r>
                </w:p>
              </w:tc>
            </w:tr>
            <w:tr>
              <w:tc>
                <w:tcPr>
                  <w:tcW w:type="dxa" w:w="1686"/>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抗滑值（</w:t>
                  </w:r>
                  <w:r>
                    <w:rPr>
                      <w:rFonts w:ascii="仿宋_GB2312" w:hAnsi="仿宋_GB2312" w:cs="仿宋_GB2312" w:eastAsia="仿宋_GB2312"/>
                      <w:sz w:val="21"/>
                    </w:rPr>
                    <w:t>BPN,20</w:t>
                  </w:r>
                  <w:r>
                    <w:rPr>
                      <w:rFonts w:ascii="仿宋_GB2312" w:hAnsi="仿宋_GB2312" w:cs="仿宋_GB2312" w:eastAsia="仿宋_GB2312"/>
                      <w:sz w:val="21"/>
                    </w:rPr>
                    <w:t>℃</w:t>
                  </w:r>
                  <w:r>
                    <w:rPr>
                      <w:rFonts w:ascii="仿宋_GB2312" w:hAnsi="仿宋_GB2312" w:cs="仿宋_GB2312" w:eastAsia="仿宋_GB2312"/>
                      <w:sz w:val="21"/>
                    </w:rPr>
                    <w:t>）</w:t>
                  </w:r>
                </w:p>
              </w:tc>
              <w:tc>
                <w:tcPr>
                  <w:tcW w:type="dxa" w:w="8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≥47（湿测）</w:t>
                  </w:r>
                </w:p>
              </w:tc>
            </w:tr>
            <w:tr>
              <w:tc>
                <w:tcPr>
                  <w:tcW w:type="dxa" w:w="1686"/>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拉伸强度（</w:t>
                  </w:r>
                  <w:r>
                    <w:rPr>
                      <w:rFonts w:ascii="仿宋_GB2312" w:hAnsi="仿宋_GB2312" w:cs="仿宋_GB2312" w:eastAsia="仿宋_GB2312"/>
                      <w:sz w:val="21"/>
                    </w:rPr>
                    <w:t>MPa</w:t>
                  </w:r>
                  <w:r>
                    <w:rPr>
                      <w:rFonts w:ascii="仿宋_GB2312" w:hAnsi="仿宋_GB2312" w:cs="仿宋_GB2312" w:eastAsia="仿宋_GB2312"/>
                      <w:sz w:val="21"/>
                      <w:u w:val="single"/>
                    </w:rPr>
                    <w:t>）</w:t>
                  </w:r>
                </w:p>
              </w:tc>
              <w:tc>
                <w:tcPr>
                  <w:tcW w:type="dxa" w:w="8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≥0.4</w:t>
                  </w:r>
                </w:p>
              </w:tc>
            </w:tr>
            <w:tr>
              <w:tc>
                <w:tcPr>
                  <w:tcW w:type="dxa" w:w="1686"/>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拉断伸长率（</w:t>
                  </w:r>
                  <w:r>
                    <w:rPr>
                      <w:rFonts w:ascii="仿宋_GB2312" w:hAnsi="仿宋_GB2312" w:cs="仿宋_GB2312" w:eastAsia="仿宋_GB2312"/>
                      <w:sz w:val="21"/>
                    </w:rPr>
                    <w:t>%</w:t>
                  </w:r>
                  <w:r>
                    <w:rPr>
                      <w:rFonts w:ascii="仿宋_GB2312" w:hAnsi="仿宋_GB2312" w:cs="仿宋_GB2312" w:eastAsia="仿宋_GB2312"/>
                      <w:sz w:val="21"/>
                    </w:rPr>
                    <w:t>）</w:t>
                  </w:r>
                </w:p>
              </w:tc>
              <w:tc>
                <w:tcPr>
                  <w:tcW w:type="dxa" w:w="8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r>
            <w:tr>
              <w:tc>
                <w:tcPr>
                  <w:tcW w:type="dxa" w:w="1686"/>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阻燃（级）</w:t>
                  </w:r>
                </w:p>
              </w:tc>
              <w:tc>
                <w:tcPr>
                  <w:tcW w:type="dxa" w:w="8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I</w:t>
                  </w:r>
                </w:p>
              </w:tc>
            </w:tr>
            <w:tr>
              <w:tc>
                <w:tcPr>
                  <w:tcW w:type="dxa" w:w="1686"/>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气味等级（级）</w:t>
                  </w:r>
                </w:p>
              </w:tc>
              <w:tc>
                <w:tcPr>
                  <w:tcW w:type="dxa" w:w="8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818"/>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耐老化性能（</w:t>
                  </w:r>
                  <w:r>
                    <w:rPr>
                      <w:rFonts w:ascii="仿宋_GB2312" w:hAnsi="仿宋_GB2312" w:cs="仿宋_GB2312" w:eastAsia="仿宋_GB2312"/>
                      <w:sz w:val="21"/>
                    </w:rPr>
                    <w:t>500h</w:t>
                  </w:r>
                  <w:r>
                    <w:rPr>
                      <w:rFonts w:ascii="仿宋_GB2312" w:hAnsi="仿宋_GB2312" w:cs="仿宋_GB2312" w:eastAsia="仿宋_GB2312"/>
                      <w:sz w:val="21"/>
                    </w:rPr>
                    <w:t>）</w:t>
                  </w:r>
                </w:p>
              </w:tc>
              <w:tc>
                <w:tcPr>
                  <w:tcW w:type="dxa" w:w="8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拉伸强度（</w:t>
                  </w:r>
                  <w:r>
                    <w:rPr>
                      <w:rFonts w:ascii="仿宋_GB2312" w:hAnsi="仿宋_GB2312" w:cs="仿宋_GB2312" w:eastAsia="仿宋_GB2312"/>
                      <w:sz w:val="21"/>
                    </w:rPr>
                    <w:t>MPa</w:t>
                  </w:r>
                  <w:r>
                    <w:rPr>
                      <w:rFonts w:ascii="仿宋_GB2312" w:hAnsi="仿宋_GB2312" w:cs="仿宋_GB2312" w:eastAsia="仿宋_GB2312"/>
                      <w:sz w:val="21"/>
                    </w:rPr>
                    <w:t>）</w:t>
                  </w:r>
                </w:p>
              </w:tc>
              <w:tc>
                <w:tcPr>
                  <w:tcW w:type="dxa" w:w="86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0.4</w:t>
                  </w:r>
                </w:p>
              </w:tc>
            </w:tr>
            <w:tr>
              <w:tc>
                <w:tcPr>
                  <w:tcW w:type="dxa" w:w="818"/>
                  <w:vMerge/>
                  <w:tcBorders>
                    <w:top w:val="none" w:color="000000" w:sz="4"/>
                    <w:left w:val="single" w:color="000000" w:sz="4"/>
                    <w:bottom w:val="single" w:color="000000" w:sz="4"/>
                    <w:right w:val="single" w:color="000000" w:sz="4"/>
                  </w:tcBorders>
                </w:tcPr>
                <w:p/>
              </w:tc>
              <w:tc>
                <w:tcPr>
                  <w:tcW w:type="dxa" w:w="8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拉断伸长率（</w:t>
                  </w:r>
                  <w:r>
                    <w:rPr>
                      <w:rFonts w:ascii="仿宋_GB2312" w:hAnsi="仿宋_GB2312" w:cs="仿宋_GB2312" w:eastAsia="仿宋_GB2312"/>
                      <w:sz w:val="21"/>
                    </w:rPr>
                    <w:t>%</w:t>
                  </w:r>
                  <w:r>
                    <w:rPr>
                      <w:rFonts w:ascii="仿宋_GB2312" w:hAnsi="仿宋_GB2312" w:cs="仿宋_GB2312" w:eastAsia="仿宋_GB2312"/>
                      <w:sz w:val="21"/>
                    </w:rPr>
                    <w:t>）</w:t>
                  </w:r>
                </w:p>
              </w:tc>
              <w:tc>
                <w:tcPr>
                  <w:tcW w:type="dxa" w:w="8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r>
          </w:tbl>
          <w:p>
            <w:pPr>
              <w:pStyle w:val="null3"/>
              <w:ind w:firstLine="480"/>
              <w:jc w:val="both"/>
            </w:pPr>
            <w:r>
              <w:rPr>
                <w:rFonts w:ascii="仿宋_GB2312" w:hAnsi="仿宋_GB2312" w:cs="仿宋_GB2312" w:eastAsia="仿宋_GB2312"/>
                <w:sz w:val="24"/>
              </w:rPr>
              <w:t>3.2塑胶跑道有害物质含量检测标准</w:t>
            </w:r>
          </w:p>
          <w:tbl>
            <w:tblPr>
              <w:tblBorders>
                <w:top w:val="none" w:color="000000" w:sz="4"/>
                <w:left w:val="none" w:color="000000" w:sz="4"/>
                <w:bottom w:val="none" w:color="000000" w:sz="4"/>
                <w:right w:val="none" w:color="000000" w:sz="4"/>
                <w:insideH w:val="none"/>
                <w:insideV w:val="none"/>
              </w:tblBorders>
            </w:tblPr>
            <w:tblGrid>
              <w:gridCol w:w="825"/>
              <w:gridCol w:w="1106"/>
              <w:gridCol w:w="622"/>
            </w:tblGrid>
            <w:tr>
              <w:tc>
                <w:tcPr>
                  <w:tcW w:type="dxa" w:w="1931"/>
                  <w:gridSpan w:val="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检验项目</w:t>
                  </w:r>
                  <w:r>
                    <w:rPr>
                      <w:rFonts w:ascii="仿宋_GB2312" w:hAnsi="仿宋_GB2312" w:cs="仿宋_GB2312" w:eastAsia="仿宋_GB2312"/>
                      <w:sz w:val="21"/>
                    </w:rPr>
                    <w:t>及单位</w:t>
                  </w:r>
                </w:p>
              </w:tc>
              <w:tc>
                <w:tcPr>
                  <w:tcW w:type="dxa" w:w="62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标准要求</w:t>
                  </w:r>
                </w:p>
              </w:tc>
            </w:tr>
            <w:tr>
              <w:tc>
                <w:tcPr>
                  <w:tcW w:type="dxa" w:w="1931"/>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游离甲苯二异氰酸酯（</w:t>
                  </w:r>
                  <w:r>
                    <w:rPr>
                      <w:rFonts w:ascii="仿宋_GB2312" w:hAnsi="仿宋_GB2312" w:cs="仿宋_GB2312" w:eastAsia="仿宋_GB2312"/>
                      <w:sz w:val="21"/>
                    </w:rPr>
                    <w:t>TDI</w:t>
                  </w:r>
                  <w:r>
                    <w:rPr>
                      <w:rFonts w:ascii="仿宋_GB2312" w:hAnsi="仿宋_GB2312" w:cs="仿宋_GB2312" w:eastAsia="仿宋_GB2312"/>
                      <w:sz w:val="21"/>
                    </w:rPr>
                    <w:t>）和游离六亚甲基二异氰酸酯（</w:t>
                  </w:r>
                  <w:r>
                    <w:rPr>
                      <w:rFonts w:ascii="仿宋_GB2312" w:hAnsi="仿宋_GB2312" w:cs="仿宋_GB2312" w:eastAsia="仿宋_GB2312"/>
                      <w:sz w:val="21"/>
                    </w:rPr>
                    <w:t>HDI</w:t>
                  </w:r>
                  <w:r>
                    <w:rPr>
                      <w:rFonts w:ascii="仿宋_GB2312" w:hAnsi="仿宋_GB2312" w:cs="仿宋_GB2312" w:eastAsia="仿宋_GB2312"/>
                      <w:sz w:val="21"/>
                    </w:rPr>
                    <w:t>）总和（</w:t>
                  </w:r>
                  <w:r>
                    <w:rPr>
                      <w:rFonts w:ascii="仿宋_GB2312" w:hAnsi="仿宋_GB2312" w:cs="仿宋_GB2312" w:eastAsia="仿宋_GB2312"/>
                      <w:sz w:val="21"/>
                    </w:rPr>
                    <w:t>g/kg)</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≤0.2</w:t>
                  </w:r>
                </w:p>
              </w:tc>
            </w:tr>
            <w:tr>
              <w:tc>
                <w:tcPr>
                  <w:tcW w:type="dxa" w:w="1931"/>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游离二苯基甲烷二异氰酸酯（</w:t>
                  </w:r>
                  <w:r>
                    <w:rPr>
                      <w:rFonts w:ascii="仿宋_GB2312" w:hAnsi="仿宋_GB2312" w:cs="仿宋_GB2312" w:eastAsia="仿宋_GB2312"/>
                      <w:sz w:val="21"/>
                    </w:rPr>
                    <w:t>MDI</w:t>
                  </w:r>
                  <w:r>
                    <w:rPr>
                      <w:rFonts w:ascii="仿宋_GB2312" w:hAnsi="仿宋_GB2312" w:cs="仿宋_GB2312" w:eastAsia="仿宋_GB2312"/>
                      <w:sz w:val="21"/>
                    </w:rPr>
                    <w:t>）（</w:t>
                  </w:r>
                  <w:r>
                    <w:rPr>
                      <w:rFonts w:ascii="仿宋_GB2312" w:hAnsi="仿宋_GB2312" w:cs="仿宋_GB2312" w:eastAsia="仿宋_GB2312"/>
                      <w:sz w:val="21"/>
                    </w:rPr>
                    <w:t>g/kg)</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r>
            <w:tr>
              <w:tc>
                <w:tcPr>
                  <w:tcW w:type="dxa" w:w="82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r>
                    <w:rPr>
                      <w:rFonts w:ascii="仿宋_GB2312" w:hAnsi="仿宋_GB2312" w:cs="仿宋_GB2312" w:eastAsia="仿宋_GB2312"/>
                      <w:sz w:val="21"/>
                    </w:rPr>
                    <w:t>种多环芳烃总和（</w:t>
                  </w:r>
                  <w:r>
                    <w:rPr>
                      <w:rFonts w:ascii="仿宋_GB2312" w:hAnsi="仿宋_GB2312" w:cs="仿宋_GB2312" w:eastAsia="仿宋_GB2312"/>
                      <w:sz w:val="21"/>
                    </w:rPr>
                    <w:t>mg/kg</w:t>
                  </w:r>
                  <w:r>
                    <w:rPr>
                      <w:rFonts w:ascii="仿宋_GB2312" w:hAnsi="仿宋_GB2312" w:cs="仿宋_GB2312" w:eastAsia="仿宋_GB2312"/>
                      <w:sz w:val="21"/>
                    </w:rPr>
                    <w:t>）</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整体</w:t>
                  </w:r>
                </w:p>
              </w:tc>
              <w:tc>
                <w:tcPr>
                  <w:tcW w:type="dxa" w:w="62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r>
            <w:tr>
              <w:tc>
                <w:tcPr>
                  <w:tcW w:type="dxa" w:w="825"/>
                  <w:vMerge/>
                  <w:tcBorders>
                    <w:top w:val="none" w:color="000000" w:sz="4"/>
                    <w:left w:val="single" w:color="000000" w:sz="4"/>
                    <w:bottom w:val="single" w:color="000000" w:sz="4"/>
                    <w:right w:val="single" w:color="000000" w:sz="4"/>
                  </w:tcBorders>
                </w:tcP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表面</w:t>
                  </w:r>
                  <w:r>
                    <w:rPr>
                      <w:rFonts w:ascii="仿宋_GB2312" w:hAnsi="仿宋_GB2312" w:cs="仿宋_GB2312" w:eastAsia="仿宋_GB2312"/>
                      <w:sz w:val="21"/>
                    </w:rPr>
                    <w:t>5mm</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r>
            <w:tr>
              <w:tc>
                <w:tcPr>
                  <w:tcW w:type="dxa" w:w="1931"/>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4,4-</w:t>
                  </w:r>
                  <w:r>
                    <w:rPr>
                      <w:rFonts w:ascii="仿宋_GB2312" w:hAnsi="仿宋_GB2312" w:cs="仿宋_GB2312" w:eastAsia="仿宋_GB2312"/>
                      <w:sz w:val="21"/>
                    </w:rPr>
                    <w:t>二氨基</w:t>
                  </w:r>
                  <w:r>
                    <w:rPr>
                      <w:rFonts w:ascii="仿宋_GB2312" w:hAnsi="仿宋_GB2312" w:cs="仿宋_GB2312" w:eastAsia="仿宋_GB2312"/>
                      <w:sz w:val="21"/>
                    </w:rPr>
                    <w:t>-3,3-</w:t>
                  </w:r>
                  <w:r>
                    <w:rPr>
                      <w:rFonts w:ascii="仿宋_GB2312" w:hAnsi="仿宋_GB2312" w:cs="仿宋_GB2312" w:eastAsia="仿宋_GB2312"/>
                      <w:sz w:val="21"/>
                    </w:rPr>
                    <w:t>二氯二苯甲烷（</w:t>
                  </w:r>
                  <w:r>
                    <w:rPr>
                      <w:rFonts w:ascii="仿宋_GB2312" w:hAnsi="仿宋_GB2312" w:cs="仿宋_GB2312" w:eastAsia="仿宋_GB2312"/>
                      <w:sz w:val="21"/>
                    </w:rPr>
                    <w:t>MOCA</w:t>
                  </w:r>
                  <w:r>
                    <w:rPr>
                      <w:rFonts w:ascii="仿宋_GB2312" w:hAnsi="仿宋_GB2312" w:cs="仿宋_GB2312" w:eastAsia="仿宋_GB2312"/>
                      <w:sz w:val="21"/>
                    </w:rPr>
                    <w:t>）（</w:t>
                  </w:r>
                  <w:r>
                    <w:rPr>
                      <w:rFonts w:ascii="仿宋_GB2312" w:hAnsi="仿宋_GB2312" w:cs="仿宋_GB2312" w:eastAsia="仿宋_GB2312"/>
                      <w:sz w:val="21"/>
                    </w:rPr>
                    <w:t>g/kg</w:t>
                  </w:r>
                  <w:r>
                    <w:rPr>
                      <w:rFonts w:ascii="仿宋_GB2312" w:hAnsi="仿宋_GB2312" w:cs="仿宋_GB2312" w:eastAsia="仿宋_GB2312"/>
                      <w:sz w:val="21"/>
                    </w:rPr>
                    <w:t>）</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r>
            <w:tr>
              <w:tc>
                <w:tcPr>
                  <w:tcW w:type="dxa" w:w="1931"/>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r>
                    <w:rPr>
                      <w:rFonts w:ascii="仿宋_GB2312" w:hAnsi="仿宋_GB2312" w:cs="仿宋_GB2312" w:eastAsia="仿宋_GB2312"/>
                      <w:sz w:val="21"/>
                    </w:rPr>
                    <w:t>种邻苯二甲酸酯类化合物（</w:t>
                  </w:r>
                  <w:r>
                    <w:rPr>
                      <w:rFonts w:ascii="仿宋_GB2312" w:hAnsi="仿宋_GB2312" w:cs="仿宋_GB2312" w:eastAsia="仿宋_GB2312"/>
                      <w:sz w:val="21"/>
                    </w:rPr>
                    <w:t>DBP</w:t>
                  </w:r>
                  <w:r>
                    <w:rPr>
                      <w:rFonts w:ascii="仿宋_GB2312" w:hAnsi="仿宋_GB2312" w:cs="仿宋_GB2312" w:eastAsia="仿宋_GB2312"/>
                      <w:sz w:val="21"/>
                    </w:rPr>
                    <w:t>、</w:t>
                  </w:r>
                  <w:r>
                    <w:rPr>
                      <w:rFonts w:ascii="仿宋_GB2312" w:hAnsi="仿宋_GB2312" w:cs="仿宋_GB2312" w:eastAsia="仿宋_GB2312"/>
                      <w:sz w:val="21"/>
                    </w:rPr>
                    <w:t>BBP</w:t>
                  </w:r>
                  <w:r>
                    <w:rPr>
                      <w:rFonts w:ascii="仿宋_GB2312" w:hAnsi="仿宋_GB2312" w:cs="仿宋_GB2312" w:eastAsia="仿宋_GB2312"/>
                      <w:sz w:val="21"/>
                    </w:rPr>
                    <w:t>、</w:t>
                  </w:r>
                  <w:r>
                    <w:rPr>
                      <w:rFonts w:ascii="仿宋_GB2312" w:hAnsi="仿宋_GB2312" w:cs="仿宋_GB2312" w:eastAsia="仿宋_GB2312"/>
                      <w:sz w:val="21"/>
                    </w:rPr>
                    <w:t>DEHP</w:t>
                  </w:r>
                  <w:r>
                    <w:rPr>
                      <w:rFonts w:ascii="仿宋_GB2312" w:hAnsi="仿宋_GB2312" w:cs="仿宋_GB2312" w:eastAsia="仿宋_GB2312"/>
                      <w:sz w:val="21"/>
                    </w:rPr>
                    <w:t>）总和（</w:t>
                  </w:r>
                  <w:r>
                    <w:rPr>
                      <w:rFonts w:ascii="仿宋_GB2312" w:hAnsi="仿宋_GB2312" w:cs="仿宋_GB2312" w:eastAsia="仿宋_GB2312"/>
                      <w:sz w:val="21"/>
                    </w:rPr>
                    <w:t>g/kg</w:t>
                  </w:r>
                  <w:r>
                    <w:rPr>
                      <w:rFonts w:ascii="仿宋_GB2312" w:hAnsi="仿宋_GB2312" w:cs="仿宋_GB2312" w:eastAsia="仿宋_GB2312"/>
                      <w:sz w:val="21"/>
                    </w:rPr>
                    <w:t>）</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r>
            <w:tr>
              <w:tc>
                <w:tcPr>
                  <w:tcW w:type="dxa" w:w="1931"/>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r>
                    <w:rPr>
                      <w:rFonts w:ascii="仿宋_GB2312" w:hAnsi="仿宋_GB2312" w:cs="仿宋_GB2312" w:eastAsia="仿宋_GB2312"/>
                      <w:sz w:val="21"/>
                    </w:rPr>
                    <w:t>种邻苯二甲酸酯类化合物（</w:t>
                  </w:r>
                  <w:r>
                    <w:rPr>
                      <w:rFonts w:ascii="仿宋_GB2312" w:hAnsi="仿宋_GB2312" w:cs="仿宋_GB2312" w:eastAsia="仿宋_GB2312"/>
                      <w:sz w:val="21"/>
                    </w:rPr>
                    <w:t>DNOP</w:t>
                  </w:r>
                  <w:r>
                    <w:rPr>
                      <w:rFonts w:ascii="仿宋_GB2312" w:hAnsi="仿宋_GB2312" w:cs="仿宋_GB2312" w:eastAsia="仿宋_GB2312"/>
                      <w:sz w:val="21"/>
                    </w:rPr>
                    <w:t>、</w:t>
                  </w:r>
                  <w:r>
                    <w:rPr>
                      <w:rFonts w:ascii="仿宋_GB2312" w:hAnsi="仿宋_GB2312" w:cs="仿宋_GB2312" w:eastAsia="仿宋_GB2312"/>
                      <w:sz w:val="21"/>
                    </w:rPr>
                    <w:t>DINP</w:t>
                  </w:r>
                  <w:r>
                    <w:rPr>
                      <w:rFonts w:ascii="仿宋_GB2312" w:hAnsi="仿宋_GB2312" w:cs="仿宋_GB2312" w:eastAsia="仿宋_GB2312"/>
                      <w:sz w:val="21"/>
                    </w:rPr>
                    <w:t>、</w:t>
                  </w:r>
                  <w:r>
                    <w:rPr>
                      <w:rFonts w:ascii="仿宋_GB2312" w:hAnsi="仿宋_GB2312" w:cs="仿宋_GB2312" w:eastAsia="仿宋_GB2312"/>
                      <w:sz w:val="21"/>
                    </w:rPr>
                    <w:t>DIDP</w:t>
                  </w:r>
                  <w:r>
                    <w:rPr>
                      <w:rFonts w:ascii="仿宋_GB2312" w:hAnsi="仿宋_GB2312" w:cs="仿宋_GB2312" w:eastAsia="仿宋_GB2312"/>
                      <w:sz w:val="21"/>
                    </w:rPr>
                    <w:t>）总和（</w:t>
                  </w:r>
                  <w:r>
                    <w:rPr>
                      <w:rFonts w:ascii="仿宋_GB2312" w:hAnsi="仿宋_GB2312" w:cs="仿宋_GB2312" w:eastAsia="仿宋_GB2312"/>
                      <w:sz w:val="21"/>
                    </w:rPr>
                    <w:t>g/kg</w:t>
                  </w:r>
                  <w:r>
                    <w:rPr>
                      <w:rFonts w:ascii="仿宋_GB2312" w:hAnsi="仿宋_GB2312" w:cs="仿宋_GB2312" w:eastAsia="仿宋_GB2312"/>
                      <w:sz w:val="21"/>
                    </w:rPr>
                    <w:t>）</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r>
            <w:tr>
              <w:tc>
                <w:tcPr>
                  <w:tcW w:type="dxa" w:w="1931"/>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短链氯化石蜡（</w:t>
                  </w:r>
                  <w:r>
                    <w:rPr>
                      <w:rFonts w:ascii="仿宋_GB2312" w:hAnsi="仿宋_GB2312" w:cs="仿宋_GB2312" w:eastAsia="仿宋_GB2312"/>
                      <w:sz w:val="21"/>
                    </w:rPr>
                    <w:t>g/kg</w:t>
                  </w:r>
                  <w:r>
                    <w:rPr>
                      <w:rFonts w:ascii="仿宋_GB2312" w:hAnsi="仿宋_GB2312" w:cs="仿宋_GB2312" w:eastAsia="仿宋_GB2312"/>
                      <w:sz w:val="21"/>
                    </w:rPr>
                    <w:t>）</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r>
            <w:tr>
              <w:tc>
                <w:tcPr>
                  <w:tcW w:type="dxa" w:w="1931"/>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苯并【</w:t>
                  </w:r>
                  <w:r>
                    <w:rPr>
                      <w:rFonts w:ascii="仿宋_GB2312" w:hAnsi="仿宋_GB2312" w:cs="仿宋_GB2312" w:eastAsia="仿宋_GB2312"/>
                      <w:sz w:val="21"/>
                    </w:rPr>
                    <w:t>a</w:t>
                  </w:r>
                  <w:r>
                    <w:rPr>
                      <w:rFonts w:ascii="仿宋_GB2312" w:hAnsi="仿宋_GB2312" w:cs="仿宋_GB2312" w:eastAsia="仿宋_GB2312"/>
                      <w:sz w:val="21"/>
                    </w:rPr>
                    <w:t>】芘（</w:t>
                  </w:r>
                  <w:r>
                    <w:rPr>
                      <w:rFonts w:ascii="仿宋_GB2312" w:hAnsi="仿宋_GB2312" w:cs="仿宋_GB2312" w:eastAsia="仿宋_GB2312"/>
                      <w:sz w:val="21"/>
                    </w:rPr>
                    <w:t>mg/kg</w:t>
                  </w:r>
                  <w:r>
                    <w:rPr>
                      <w:rFonts w:ascii="仿宋_GB2312" w:hAnsi="仿宋_GB2312" w:cs="仿宋_GB2312" w:eastAsia="仿宋_GB2312"/>
                      <w:sz w:val="21"/>
                    </w:rPr>
                    <w:t>）</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r>
            <w:tr>
              <w:tc>
                <w:tcPr>
                  <w:tcW w:type="dxa" w:w="1931"/>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有害物质释放量</w:t>
                  </w:r>
                  <w:r>
                    <w:rPr>
                      <w:rFonts w:ascii="仿宋_GB2312" w:hAnsi="仿宋_GB2312" w:cs="仿宋_GB2312" w:eastAsia="仿宋_GB2312"/>
                      <w:sz w:val="21"/>
                    </w:rPr>
                    <w:t>-</w:t>
                  </w:r>
                  <w:r>
                    <w:rPr>
                      <w:rFonts w:ascii="仿宋_GB2312" w:hAnsi="仿宋_GB2312" w:cs="仿宋_GB2312" w:eastAsia="仿宋_GB2312"/>
                      <w:sz w:val="21"/>
                    </w:rPr>
                    <w:t>总挥发性有机化合物（</w:t>
                  </w:r>
                  <w:r>
                    <w:rPr>
                      <w:rFonts w:ascii="仿宋_GB2312" w:hAnsi="仿宋_GB2312" w:cs="仿宋_GB2312" w:eastAsia="仿宋_GB2312"/>
                      <w:sz w:val="21"/>
                    </w:rPr>
                    <w:t>TVOC</w:t>
                  </w:r>
                  <w:r>
                    <w:rPr>
                      <w:rFonts w:ascii="仿宋_GB2312" w:hAnsi="仿宋_GB2312" w:cs="仿宋_GB2312" w:eastAsia="仿宋_GB2312"/>
                      <w:sz w:val="21"/>
                    </w:rPr>
                    <w:t>）（</w:t>
                  </w:r>
                  <w:r>
                    <w:rPr>
                      <w:rFonts w:ascii="仿宋_GB2312" w:hAnsi="仿宋_GB2312" w:cs="仿宋_GB2312" w:eastAsia="仿宋_GB2312"/>
                      <w:sz w:val="21"/>
                    </w:rPr>
                    <w:t>mg/</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h</w:t>
                  </w:r>
                  <w:r>
                    <w:rPr>
                      <w:rFonts w:ascii="仿宋_GB2312" w:hAnsi="仿宋_GB2312" w:cs="仿宋_GB2312" w:eastAsia="仿宋_GB2312"/>
                      <w:sz w:val="21"/>
                    </w:rPr>
                    <w:t>））</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5.0</w:t>
                  </w:r>
                </w:p>
              </w:tc>
            </w:tr>
            <w:tr>
              <w:tc>
                <w:tcPr>
                  <w:tcW w:type="dxa" w:w="1931"/>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有害物质释放量</w:t>
                  </w:r>
                  <w:r>
                    <w:rPr>
                      <w:rFonts w:ascii="仿宋_GB2312" w:hAnsi="仿宋_GB2312" w:cs="仿宋_GB2312" w:eastAsia="仿宋_GB2312"/>
                      <w:sz w:val="21"/>
                    </w:rPr>
                    <w:t>-</w:t>
                  </w:r>
                  <w:r>
                    <w:rPr>
                      <w:rFonts w:ascii="仿宋_GB2312" w:hAnsi="仿宋_GB2312" w:cs="仿宋_GB2312" w:eastAsia="仿宋_GB2312"/>
                      <w:sz w:val="21"/>
                    </w:rPr>
                    <w:t>甲醛（</w:t>
                  </w:r>
                  <w:r>
                    <w:rPr>
                      <w:rFonts w:ascii="仿宋_GB2312" w:hAnsi="仿宋_GB2312" w:cs="仿宋_GB2312" w:eastAsia="仿宋_GB2312"/>
                      <w:sz w:val="21"/>
                    </w:rPr>
                    <w:t>mg/</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h</w:t>
                  </w:r>
                  <w:r>
                    <w:rPr>
                      <w:rFonts w:ascii="仿宋_GB2312" w:hAnsi="仿宋_GB2312" w:cs="仿宋_GB2312" w:eastAsia="仿宋_GB2312"/>
                      <w:sz w:val="21"/>
                    </w:rPr>
                    <w:t>））</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0.4</w:t>
                  </w:r>
                </w:p>
              </w:tc>
            </w:tr>
            <w:tr>
              <w:tc>
                <w:tcPr>
                  <w:tcW w:type="dxa" w:w="1931"/>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有害物质释放量</w:t>
                  </w:r>
                  <w:r>
                    <w:rPr>
                      <w:rFonts w:ascii="仿宋_GB2312" w:hAnsi="仿宋_GB2312" w:cs="仿宋_GB2312" w:eastAsia="仿宋_GB2312"/>
                      <w:sz w:val="21"/>
                    </w:rPr>
                    <w:t>-</w:t>
                  </w:r>
                  <w:r>
                    <w:rPr>
                      <w:rFonts w:ascii="仿宋_GB2312" w:hAnsi="仿宋_GB2312" w:cs="仿宋_GB2312" w:eastAsia="仿宋_GB2312"/>
                      <w:sz w:val="21"/>
                    </w:rPr>
                    <w:t>苯（</w:t>
                  </w:r>
                  <w:r>
                    <w:rPr>
                      <w:rFonts w:ascii="仿宋_GB2312" w:hAnsi="仿宋_GB2312" w:cs="仿宋_GB2312" w:eastAsia="仿宋_GB2312"/>
                      <w:sz w:val="21"/>
                    </w:rPr>
                    <w:t>mg/</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h</w:t>
                  </w:r>
                  <w:r>
                    <w:rPr>
                      <w:rFonts w:ascii="仿宋_GB2312" w:hAnsi="仿宋_GB2312" w:cs="仿宋_GB2312" w:eastAsia="仿宋_GB2312"/>
                      <w:sz w:val="21"/>
                    </w:rPr>
                    <w:t>））</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0.1</w:t>
                  </w:r>
                </w:p>
              </w:tc>
            </w:tr>
            <w:tr>
              <w:tc>
                <w:tcPr>
                  <w:tcW w:type="dxa" w:w="1931"/>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有害物质释放量</w:t>
                  </w:r>
                  <w:r>
                    <w:rPr>
                      <w:rFonts w:ascii="仿宋_GB2312" w:hAnsi="仿宋_GB2312" w:cs="仿宋_GB2312" w:eastAsia="仿宋_GB2312"/>
                      <w:sz w:val="21"/>
                    </w:rPr>
                    <w:t>-</w:t>
                  </w:r>
                  <w:r>
                    <w:rPr>
                      <w:rFonts w:ascii="仿宋_GB2312" w:hAnsi="仿宋_GB2312" w:cs="仿宋_GB2312" w:eastAsia="仿宋_GB2312"/>
                      <w:sz w:val="21"/>
                    </w:rPr>
                    <w:t>甲苯、二甲苯和乙苯总和（</w:t>
                  </w:r>
                  <w:r>
                    <w:rPr>
                      <w:rFonts w:ascii="仿宋_GB2312" w:hAnsi="仿宋_GB2312" w:cs="仿宋_GB2312" w:eastAsia="仿宋_GB2312"/>
                      <w:sz w:val="21"/>
                    </w:rPr>
                    <w:t>mg/</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h</w:t>
                  </w:r>
                  <w:r>
                    <w:rPr>
                      <w:rFonts w:ascii="仿宋_GB2312" w:hAnsi="仿宋_GB2312" w:cs="仿宋_GB2312" w:eastAsia="仿宋_GB2312"/>
                      <w:sz w:val="21"/>
                    </w:rPr>
                    <w:t>））</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1.0</w:t>
                  </w:r>
                </w:p>
              </w:tc>
            </w:tr>
            <w:tr>
              <w:tc>
                <w:tcPr>
                  <w:tcW w:type="dxa" w:w="1931"/>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有害物质释放量</w:t>
                  </w:r>
                  <w:r>
                    <w:rPr>
                      <w:rFonts w:ascii="仿宋_GB2312" w:hAnsi="仿宋_GB2312" w:cs="仿宋_GB2312" w:eastAsia="仿宋_GB2312"/>
                      <w:sz w:val="21"/>
                    </w:rPr>
                    <w:t>-</w:t>
                  </w:r>
                  <w:r>
                    <w:rPr>
                      <w:rFonts w:ascii="仿宋_GB2312" w:hAnsi="仿宋_GB2312" w:cs="仿宋_GB2312" w:eastAsia="仿宋_GB2312"/>
                      <w:sz w:val="21"/>
                    </w:rPr>
                    <w:t>二硫化碳（</w:t>
                  </w:r>
                  <w:r>
                    <w:rPr>
                      <w:rFonts w:ascii="仿宋_GB2312" w:hAnsi="仿宋_GB2312" w:cs="仿宋_GB2312" w:eastAsia="仿宋_GB2312"/>
                      <w:sz w:val="21"/>
                    </w:rPr>
                    <w:t>mg/</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h</w:t>
                  </w:r>
                  <w:r>
                    <w:rPr>
                      <w:rFonts w:ascii="仿宋_GB2312" w:hAnsi="仿宋_GB2312" w:cs="仿宋_GB2312" w:eastAsia="仿宋_GB2312"/>
                      <w:sz w:val="21"/>
                    </w:rPr>
                    <w:t>））</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7.0</w:t>
                  </w:r>
                </w:p>
              </w:tc>
            </w:tr>
            <w:tr>
              <w:tc>
                <w:tcPr>
                  <w:tcW w:type="dxa" w:w="1931"/>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无机填料（</w:t>
                  </w:r>
                  <w:r>
                    <w:rPr>
                      <w:rFonts w:ascii="仿宋_GB2312" w:hAnsi="仿宋_GB2312" w:cs="仿宋_GB2312" w:eastAsia="仿宋_GB2312"/>
                      <w:sz w:val="21"/>
                    </w:rPr>
                    <w:t>%</w:t>
                  </w:r>
                  <w:r>
                    <w:rPr>
                      <w:rFonts w:ascii="仿宋_GB2312" w:hAnsi="仿宋_GB2312" w:cs="仿宋_GB2312" w:eastAsia="仿宋_GB2312"/>
                      <w:sz w:val="21"/>
                    </w:rPr>
                    <w:t>）</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≤65</w:t>
                  </w:r>
                </w:p>
              </w:tc>
            </w:tr>
            <w:tr>
              <w:tc>
                <w:tcPr>
                  <w:tcW w:type="dxa" w:w="1931"/>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厚度（</w:t>
                  </w:r>
                  <w:r>
                    <w:rPr>
                      <w:rFonts w:ascii="仿宋_GB2312" w:hAnsi="仿宋_GB2312" w:cs="仿宋_GB2312" w:eastAsia="仿宋_GB2312"/>
                      <w:sz w:val="21"/>
                    </w:rPr>
                    <w:t>mm</w:t>
                  </w:r>
                  <w:r>
                    <w:rPr>
                      <w:rFonts w:ascii="仿宋_GB2312" w:hAnsi="仿宋_GB2312" w:cs="仿宋_GB2312" w:eastAsia="仿宋_GB2312"/>
                      <w:sz w:val="21"/>
                    </w:rPr>
                    <w:t>）</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r>
            <w:tr>
              <w:tc>
                <w:tcPr>
                  <w:tcW w:type="dxa" w:w="82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重金属含量</w:t>
                  </w:r>
                </w:p>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mg/kg</w:t>
                  </w:r>
                  <w:r>
                    <w:rPr>
                      <w:rFonts w:ascii="仿宋_GB2312" w:hAnsi="仿宋_GB2312" w:cs="仿宋_GB2312" w:eastAsia="仿宋_GB2312"/>
                      <w:sz w:val="21"/>
                    </w:rPr>
                    <w:t>）</w:t>
                  </w: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可溶性铅</w:t>
                  </w:r>
                </w:p>
              </w:tc>
              <w:tc>
                <w:tcPr>
                  <w:tcW w:type="dxa" w:w="62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50</w:t>
                  </w:r>
                </w:p>
              </w:tc>
            </w:tr>
            <w:tr>
              <w:tc>
                <w:tcPr>
                  <w:tcW w:type="dxa" w:w="825"/>
                  <w:vMerge/>
                  <w:tcBorders>
                    <w:top w:val="none" w:color="000000" w:sz="4"/>
                    <w:left w:val="single" w:color="000000" w:sz="4"/>
                    <w:bottom w:val="single" w:color="000000" w:sz="4"/>
                    <w:right w:val="single" w:color="000000" w:sz="4"/>
                  </w:tcBorders>
                </w:tcP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可溶性镉</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10</w:t>
                  </w:r>
                </w:p>
              </w:tc>
            </w:tr>
            <w:tr>
              <w:tc>
                <w:tcPr>
                  <w:tcW w:type="dxa" w:w="825"/>
                  <w:vMerge/>
                  <w:tcBorders>
                    <w:top w:val="none" w:color="000000" w:sz="4"/>
                    <w:left w:val="single" w:color="000000" w:sz="4"/>
                    <w:bottom w:val="single" w:color="000000" w:sz="4"/>
                    <w:right w:val="single" w:color="000000" w:sz="4"/>
                  </w:tcBorders>
                </w:tcP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可溶性铬</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10</w:t>
                  </w:r>
                </w:p>
              </w:tc>
            </w:tr>
            <w:tr>
              <w:tc>
                <w:tcPr>
                  <w:tcW w:type="dxa" w:w="825"/>
                  <w:vMerge/>
                  <w:tcBorders>
                    <w:top w:val="none" w:color="000000" w:sz="4"/>
                    <w:left w:val="single" w:color="000000" w:sz="4"/>
                    <w:bottom w:val="single" w:color="000000" w:sz="4"/>
                    <w:right w:val="single" w:color="000000" w:sz="4"/>
                  </w:tcBorders>
                </w:tcPr>
                <w:p/>
              </w:tc>
              <w:tc>
                <w:tcPr>
                  <w:tcW w:type="dxa" w:w="11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可溶性汞</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2</w:t>
                  </w:r>
                </w:p>
              </w:tc>
            </w:tr>
          </w:tbl>
          <w:p>
            <w:pPr>
              <w:pStyle w:val="null3"/>
              <w:ind w:firstLine="480"/>
              <w:jc w:val="both"/>
            </w:pPr>
            <w:r>
              <w:rPr>
                <w:rFonts w:ascii="仿宋_GB2312" w:hAnsi="仿宋_GB2312" w:cs="仿宋_GB2312" w:eastAsia="仿宋_GB2312"/>
                <w:sz w:val="24"/>
              </w:rPr>
              <w:t>3.3塑胶跑道成品要求</w:t>
            </w:r>
          </w:p>
          <w:p>
            <w:pPr>
              <w:pStyle w:val="null3"/>
              <w:ind w:firstLine="480"/>
              <w:jc w:val="both"/>
            </w:pPr>
            <w:r>
              <w:rPr>
                <w:rFonts w:ascii="仿宋_GB2312" w:hAnsi="仿宋_GB2312" w:cs="仿宋_GB2312" w:eastAsia="仿宋_GB2312"/>
                <w:sz w:val="24"/>
              </w:rPr>
              <w:t>①为保证产品的高质量及场地的耐用持久性，提供具有“CMA”资质检测机构依据GB36246-2018《中小学合成材料面层运动场地》对透气型塑胶跑道样块化学性能、物理性能及抗老化性能的检验检测报告，证明各项技术指标要求符合国家标准。</w:t>
            </w:r>
          </w:p>
          <w:p>
            <w:pPr>
              <w:pStyle w:val="null3"/>
              <w:ind w:firstLine="480"/>
              <w:jc w:val="both"/>
            </w:pPr>
            <w:r>
              <w:rPr>
                <w:rFonts w:ascii="仿宋_GB2312" w:hAnsi="仿宋_GB2312" w:cs="仿宋_GB2312" w:eastAsia="仿宋_GB2312"/>
                <w:sz w:val="24"/>
              </w:rPr>
              <w:t>②为保证塑胶跑道高运动性能，提供塑胶跑道材料依据ASTM G154:2012测试标准持续600H后，样品外观无裂隙或分层现象、无起皮、无变化、无粉化的有效检测报告。</w:t>
            </w:r>
          </w:p>
          <w:p>
            <w:pPr>
              <w:pStyle w:val="null3"/>
              <w:ind w:firstLine="480"/>
              <w:jc w:val="both"/>
            </w:pPr>
            <w:r>
              <w:rPr>
                <w:rFonts w:ascii="仿宋_GB2312" w:hAnsi="仿宋_GB2312" w:cs="仿宋_GB2312" w:eastAsia="仿宋_GB2312"/>
                <w:sz w:val="24"/>
              </w:rPr>
              <w:t>③塑胶跑道产品经60℃热空气老化1000h后，依据GB36246-2018标准要求冲击吸收、垂直变形、拉伸强度、拉断伸长率符合检查标准，并提供官网可查询的检查报告。</w:t>
            </w:r>
          </w:p>
          <w:p>
            <w:pPr>
              <w:pStyle w:val="null3"/>
              <w:ind w:firstLine="480"/>
              <w:jc w:val="both"/>
            </w:pPr>
            <w:r>
              <w:rPr>
                <w:rFonts w:ascii="仿宋_GB2312" w:hAnsi="仿宋_GB2312" w:cs="仿宋_GB2312" w:eastAsia="仿宋_GB2312"/>
                <w:sz w:val="24"/>
              </w:rPr>
              <w:t>④为保证塑胶跑道材料安全性能更高，提供检测机构出具的关于EPDM颗粒在4%乙酸溶液中浸泡30d后再依据GB36246-2018《中小学合成材料面层运动场地》对EPDM颗粒有害物质含量检测均为未检出的有效检验检测报告。</w:t>
            </w:r>
          </w:p>
          <w:p>
            <w:pPr>
              <w:pStyle w:val="null3"/>
              <w:ind w:firstLine="480"/>
              <w:jc w:val="both"/>
            </w:pPr>
            <w:r>
              <w:rPr>
                <w:rFonts w:ascii="仿宋_GB2312" w:hAnsi="仿宋_GB2312" w:cs="仿宋_GB2312" w:eastAsia="仿宋_GB2312"/>
                <w:sz w:val="24"/>
              </w:rPr>
              <w:t>⑤塑胶跑道产品常温下酸雨浸泡1000h后，外观未出现明显脱色、气泡、裂隙或分层现象，依据GB36246-2018标准要求可溶性铅、可溶性铬、可溶性镉、可溶性汞均为未检出，并提供官网可查询的检查报告。</w:t>
            </w:r>
          </w:p>
          <w:p>
            <w:pPr>
              <w:pStyle w:val="null3"/>
              <w:ind w:firstLine="480"/>
              <w:jc w:val="both"/>
            </w:pPr>
            <w:r>
              <w:rPr>
                <w:rFonts w:ascii="仿宋_GB2312" w:hAnsi="仿宋_GB2312" w:cs="仿宋_GB2312" w:eastAsia="仿宋_GB2312"/>
                <w:sz w:val="24"/>
              </w:rPr>
              <w:t>⑥提供生产企业获得生产企业涂料系列通过中国绿色材料标志授权使用证书。</w:t>
            </w:r>
          </w:p>
          <w:p>
            <w:pPr>
              <w:pStyle w:val="null3"/>
              <w:ind w:firstLine="480"/>
              <w:jc w:val="both"/>
            </w:pPr>
            <w:r>
              <w:rPr>
                <w:rFonts w:ascii="仿宋_GB2312" w:hAnsi="仿宋_GB2312" w:cs="仿宋_GB2312" w:eastAsia="仿宋_GB2312"/>
                <w:sz w:val="24"/>
              </w:rPr>
              <w:t>3.4硅PU产品物理性能标准要求</w:t>
            </w:r>
          </w:p>
          <w:tbl>
            <w:tblPr>
              <w:tblBorders>
                <w:top w:val="none" w:color="000000" w:sz="4"/>
                <w:left w:val="none" w:color="000000" w:sz="4"/>
                <w:bottom w:val="none" w:color="000000" w:sz="4"/>
                <w:right w:val="none" w:color="000000" w:sz="4"/>
                <w:insideH w:val="none"/>
                <w:insideV w:val="none"/>
              </w:tblBorders>
            </w:tblPr>
            <w:tblGrid>
              <w:gridCol w:w="1699"/>
              <w:gridCol w:w="846"/>
            </w:tblGrid>
            <w:tr>
              <w:tc>
                <w:tcPr>
                  <w:tcW w:type="dxa" w:w="16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检验项目</w:t>
                  </w:r>
                </w:p>
              </w:tc>
              <w:tc>
                <w:tcPr>
                  <w:tcW w:type="dxa" w:w="8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标准要求</w:t>
                  </w:r>
                </w:p>
              </w:tc>
            </w:tr>
            <w:tr>
              <w:tc>
                <w:tcPr>
                  <w:tcW w:type="dxa" w:w="1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冲击吸收（</w:t>
                  </w:r>
                  <w:r>
                    <w:rPr>
                      <w:rFonts w:ascii="仿宋_GB2312" w:hAnsi="仿宋_GB2312" w:cs="仿宋_GB2312" w:eastAsia="仿宋_GB2312"/>
                      <w:sz w:val="21"/>
                    </w:rPr>
                    <w:t>%）</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20～50</w:t>
                  </w:r>
                </w:p>
              </w:tc>
            </w:tr>
            <w:tr>
              <w:tc>
                <w:tcPr>
                  <w:tcW w:type="dxa" w:w="1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垂直变形（</w:t>
                  </w:r>
                  <w:r>
                    <w:rPr>
                      <w:rFonts w:ascii="仿宋_GB2312" w:hAnsi="仿宋_GB2312" w:cs="仿宋_GB2312" w:eastAsia="仿宋_GB2312"/>
                      <w:sz w:val="21"/>
                    </w:rPr>
                    <w:t>mm）</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r>
            <w:tr>
              <w:tc>
                <w:tcPr>
                  <w:tcW w:type="dxa" w:w="1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拉伸强度（</w:t>
                  </w:r>
                  <w:r>
                    <w:rPr>
                      <w:rFonts w:ascii="仿宋_GB2312" w:hAnsi="仿宋_GB2312" w:cs="仿宋_GB2312" w:eastAsia="仿宋_GB2312"/>
                      <w:sz w:val="21"/>
                    </w:rPr>
                    <w:t>MPa</w:t>
                  </w:r>
                  <w:r>
                    <w:rPr>
                      <w:rFonts w:ascii="仿宋_GB2312" w:hAnsi="仿宋_GB2312" w:cs="仿宋_GB2312" w:eastAsia="仿宋_GB2312"/>
                      <w:sz w:val="21"/>
                    </w:rPr>
                    <w:t>）</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0.</w:t>
                  </w:r>
                  <w:r>
                    <w:rPr>
                      <w:rFonts w:ascii="仿宋_GB2312" w:hAnsi="仿宋_GB2312" w:cs="仿宋_GB2312" w:eastAsia="仿宋_GB2312"/>
                      <w:sz w:val="21"/>
                    </w:rPr>
                    <w:t>7</w:t>
                  </w:r>
                </w:p>
              </w:tc>
            </w:tr>
            <w:tr>
              <w:tc>
                <w:tcPr>
                  <w:tcW w:type="dxa" w:w="1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拉断伸长率（</w:t>
                  </w:r>
                  <w:r>
                    <w:rPr>
                      <w:rFonts w:ascii="仿宋_GB2312" w:hAnsi="仿宋_GB2312" w:cs="仿宋_GB2312" w:eastAsia="仿宋_GB2312"/>
                      <w:sz w:val="21"/>
                    </w:rPr>
                    <w:t>%）</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≥90</w:t>
                  </w:r>
                </w:p>
              </w:tc>
            </w:tr>
            <w:tr>
              <w:tc>
                <w:tcPr>
                  <w:tcW w:type="dxa" w:w="1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阻燃（级）</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I</w:t>
                  </w:r>
                </w:p>
              </w:tc>
            </w:tr>
            <w:tr>
              <w:tc>
                <w:tcPr>
                  <w:tcW w:type="dxa" w:w="1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厚度（</w:t>
                  </w:r>
                  <w:r>
                    <w:rPr>
                      <w:rFonts w:ascii="仿宋_GB2312" w:hAnsi="仿宋_GB2312" w:cs="仿宋_GB2312" w:eastAsia="仿宋_GB2312"/>
                      <w:sz w:val="21"/>
                    </w:rPr>
                    <w:t>mm）</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r>
          </w:tbl>
          <w:p>
            <w:pPr>
              <w:pStyle w:val="null3"/>
              <w:ind w:firstLine="480"/>
              <w:jc w:val="both"/>
            </w:pPr>
            <w:r>
              <w:rPr>
                <w:rFonts w:ascii="仿宋_GB2312" w:hAnsi="仿宋_GB2312" w:cs="仿宋_GB2312" w:eastAsia="仿宋_GB2312"/>
                <w:sz w:val="24"/>
              </w:rPr>
              <w:t>3.5硅PU产品有害物质含量检测</w:t>
            </w:r>
          </w:p>
          <w:tbl>
            <w:tblPr>
              <w:tblBorders>
                <w:top w:val="none" w:color="000000" w:sz="4"/>
                <w:left w:val="none" w:color="000000" w:sz="4"/>
                <w:bottom w:val="none" w:color="000000" w:sz="4"/>
                <w:right w:val="none" w:color="000000" w:sz="4"/>
                <w:insideH w:val="none"/>
                <w:insideV w:val="none"/>
              </w:tblBorders>
            </w:tblPr>
            <w:tblGrid>
              <w:gridCol w:w="848"/>
              <w:gridCol w:w="1019"/>
              <w:gridCol w:w="671"/>
            </w:tblGrid>
            <w:tr>
              <w:tc>
                <w:tcPr>
                  <w:tcW w:type="dxa" w:w="1867"/>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检验项目及单位</w:t>
                  </w:r>
                </w:p>
              </w:tc>
              <w:tc>
                <w:tcPr>
                  <w:tcW w:type="dxa" w:w="6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标准要求</w:t>
                  </w:r>
                </w:p>
              </w:tc>
            </w:tr>
            <w:tr>
              <w:tc>
                <w:tcPr>
                  <w:tcW w:type="dxa" w:w="186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游离甲苯二异氰酸酯（</w:t>
                  </w:r>
                  <w:r>
                    <w:rPr>
                      <w:rFonts w:ascii="仿宋_GB2312" w:hAnsi="仿宋_GB2312" w:cs="仿宋_GB2312" w:eastAsia="仿宋_GB2312"/>
                      <w:sz w:val="21"/>
                    </w:rPr>
                    <w:t>TDI）和游离六亚甲基二异氰酸酯（HDI）总和（g/kg)</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0.</w:t>
                  </w:r>
                  <w:r>
                    <w:rPr>
                      <w:rFonts w:ascii="仿宋_GB2312" w:hAnsi="仿宋_GB2312" w:cs="仿宋_GB2312" w:eastAsia="仿宋_GB2312"/>
                      <w:sz w:val="21"/>
                    </w:rPr>
                    <w:t>2</w:t>
                  </w:r>
                </w:p>
              </w:tc>
            </w:tr>
            <w:tr>
              <w:tc>
                <w:tcPr>
                  <w:tcW w:type="dxa" w:w="186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游离二苯基甲烷二异氰酸酯（</w:t>
                  </w:r>
                  <w:r>
                    <w:rPr>
                      <w:rFonts w:ascii="仿宋_GB2312" w:hAnsi="仿宋_GB2312" w:cs="仿宋_GB2312" w:eastAsia="仿宋_GB2312"/>
                      <w:sz w:val="21"/>
                    </w:rPr>
                    <w:t>MDI）（g/kg)</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.0</w:t>
                  </w:r>
                </w:p>
              </w:tc>
            </w:tr>
            <w:tr>
              <w:tc>
                <w:tcPr>
                  <w:tcW w:type="dxa" w:w="8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18种多环芳烃总和（mg/kg）</w:t>
                  </w:r>
                </w:p>
              </w:tc>
              <w:tc>
                <w:tcPr>
                  <w:tcW w:type="dxa" w:w="10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整体</w:t>
                  </w:r>
                </w:p>
              </w:tc>
              <w:tc>
                <w:tcPr>
                  <w:tcW w:type="dxa" w:w="6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50</w:t>
                  </w:r>
                </w:p>
              </w:tc>
            </w:tr>
            <w:tr>
              <w:tc>
                <w:tcPr>
                  <w:tcW w:type="dxa" w:w="848"/>
                  <w:vMerge/>
                  <w:tcBorders>
                    <w:top w:val="none" w:color="000000" w:sz="4"/>
                    <w:left w:val="single" w:color="000000" w:sz="4"/>
                    <w:bottom w:val="single" w:color="000000" w:sz="4"/>
                    <w:right w:val="single" w:color="000000" w:sz="4"/>
                  </w:tcBorders>
                </w:tcPr>
                <w:p/>
              </w:tc>
              <w:tc>
                <w:tcPr>
                  <w:tcW w:type="dxa" w:w="10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表面</w:t>
                  </w:r>
                  <w:r>
                    <w:rPr>
                      <w:rFonts w:ascii="仿宋_GB2312" w:hAnsi="仿宋_GB2312" w:cs="仿宋_GB2312" w:eastAsia="仿宋_GB2312"/>
                      <w:sz w:val="21"/>
                    </w:rPr>
                    <w:t>5mm</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20</w:t>
                  </w:r>
                </w:p>
              </w:tc>
            </w:tr>
            <w:tr>
              <w:tc>
                <w:tcPr>
                  <w:tcW w:type="dxa" w:w="186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3,3-二氯-4,4</w:t>
                  </w:r>
                  <w:r>
                    <w:rPr>
                      <w:rFonts w:ascii="仿宋_GB2312" w:hAnsi="仿宋_GB2312" w:cs="仿宋_GB2312" w:eastAsia="仿宋_GB2312"/>
                      <w:sz w:val="21"/>
                    </w:rPr>
                    <w:t>-</w:t>
                  </w:r>
                  <w:r>
                    <w:rPr>
                      <w:rFonts w:ascii="仿宋_GB2312" w:hAnsi="仿宋_GB2312" w:cs="仿宋_GB2312" w:eastAsia="仿宋_GB2312"/>
                      <w:sz w:val="21"/>
                    </w:rPr>
                    <w:t>二氨基二</w:t>
                  </w:r>
                  <w:r>
                    <w:rPr>
                      <w:rFonts w:ascii="仿宋_GB2312" w:hAnsi="仿宋_GB2312" w:cs="仿宋_GB2312" w:eastAsia="仿宋_GB2312"/>
                      <w:sz w:val="21"/>
                    </w:rPr>
                    <w:t>苯</w:t>
                  </w:r>
                  <w:r>
                    <w:rPr>
                      <w:rFonts w:ascii="仿宋_GB2312" w:hAnsi="仿宋_GB2312" w:cs="仿宋_GB2312" w:eastAsia="仿宋_GB2312"/>
                      <w:sz w:val="21"/>
                    </w:rPr>
                    <w:t>甲烷（</w:t>
                  </w:r>
                  <w:r>
                    <w:rPr>
                      <w:rFonts w:ascii="仿宋_GB2312" w:hAnsi="仿宋_GB2312" w:cs="仿宋_GB2312" w:eastAsia="仿宋_GB2312"/>
                      <w:sz w:val="21"/>
                    </w:rPr>
                    <w:t>MOCA）（g/kg）</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r>
            <w:tr>
              <w:tc>
                <w:tcPr>
                  <w:tcW w:type="dxa" w:w="186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3种邻苯二甲酸酯类化合物（DBP、BBP、DEHP）总和（g/kg）</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r>
            <w:tr>
              <w:tc>
                <w:tcPr>
                  <w:tcW w:type="dxa" w:w="186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3种邻苯二甲酸酯类化合物（DNOP、DINP、DIDP）总和（g/kg）</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r>
            <w:tr>
              <w:tc>
                <w:tcPr>
                  <w:tcW w:type="dxa" w:w="186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短链氯化石蜡（</w:t>
                  </w:r>
                  <w:r>
                    <w:rPr>
                      <w:rFonts w:ascii="仿宋_GB2312" w:hAnsi="仿宋_GB2312" w:cs="仿宋_GB2312" w:eastAsia="仿宋_GB2312"/>
                      <w:sz w:val="21"/>
                    </w:rPr>
                    <w:t>g/kg）</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5</w:t>
                  </w:r>
                </w:p>
              </w:tc>
            </w:tr>
            <w:tr>
              <w:tc>
                <w:tcPr>
                  <w:tcW w:type="dxa" w:w="186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苯</w:t>
                  </w:r>
                  <w:r>
                    <w:rPr>
                      <w:rFonts w:ascii="仿宋_GB2312" w:hAnsi="仿宋_GB2312" w:cs="仿宋_GB2312" w:eastAsia="仿宋_GB2312"/>
                      <w:sz w:val="21"/>
                    </w:rPr>
                    <w:t>并</w:t>
                  </w:r>
                  <w:r>
                    <w:rPr>
                      <w:rFonts w:ascii="仿宋_GB2312" w:hAnsi="仿宋_GB2312" w:cs="仿宋_GB2312" w:eastAsia="仿宋_GB2312"/>
                      <w:sz w:val="21"/>
                    </w:rPr>
                    <w:t>【</w:t>
                  </w:r>
                  <w:r>
                    <w:rPr>
                      <w:rFonts w:ascii="仿宋_GB2312" w:hAnsi="仿宋_GB2312" w:cs="仿宋_GB2312" w:eastAsia="仿宋_GB2312"/>
                      <w:sz w:val="21"/>
                    </w:rPr>
                    <w:t>a】芘（mg/kg）</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r>
            <w:tr>
              <w:tc>
                <w:tcPr>
                  <w:tcW w:type="dxa" w:w="186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有害物质释放量</w:t>
                  </w:r>
                  <w:r>
                    <w:rPr>
                      <w:rFonts w:ascii="仿宋_GB2312" w:hAnsi="仿宋_GB2312" w:cs="仿宋_GB2312" w:eastAsia="仿宋_GB2312"/>
                      <w:sz w:val="21"/>
                    </w:rPr>
                    <w:t>-总挥发性有机化合物（TVOC）（mg/㎡·h））</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.0</w:t>
                  </w:r>
                </w:p>
              </w:tc>
            </w:tr>
            <w:tr>
              <w:tc>
                <w:tcPr>
                  <w:tcW w:type="dxa" w:w="186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有害物质释放量</w:t>
                  </w:r>
                  <w:r>
                    <w:rPr>
                      <w:rFonts w:ascii="仿宋_GB2312" w:hAnsi="仿宋_GB2312" w:cs="仿宋_GB2312" w:eastAsia="仿宋_GB2312"/>
                      <w:sz w:val="21"/>
                    </w:rPr>
                    <w:t>-甲醛（mg/㎡·h））</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w:t>
                  </w:r>
                  <w:r>
                    <w:rPr>
                      <w:rFonts w:ascii="仿宋_GB2312" w:hAnsi="仿宋_GB2312" w:cs="仿宋_GB2312" w:eastAsia="仿宋_GB2312"/>
                      <w:sz w:val="21"/>
                    </w:rPr>
                    <w:t>4</w:t>
                  </w:r>
                </w:p>
              </w:tc>
            </w:tr>
            <w:tr>
              <w:tc>
                <w:tcPr>
                  <w:tcW w:type="dxa" w:w="186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有害物质释放量</w:t>
                  </w:r>
                  <w:r>
                    <w:rPr>
                      <w:rFonts w:ascii="仿宋_GB2312" w:hAnsi="仿宋_GB2312" w:cs="仿宋_GB2312" w:eastAsia="仿宋_GB2312"/>
                      <w:sz w:val="21"/>
                    </w:rPr>
                    <w:t>-</w:t>
                  </w:r>
                  <w:r>
                    <w:rPr>
                      <w:rFonts w:ascii="仿宋_GB2312" w:hAnsi="仿宋_GB2312" w:cs="仿宋_GB2312" w:eastAsia="仿宋_GB2312"/>
                      <w:sz w:val="21"/>
                    </w:rPr>
                    <w:t>苯</w:t>
                  </w:r>
                  <w:r>
                    <w:rPr>
                      <w:rFonts w:ascii="仿宋_GB2312" w:hAnsi="仿宋_GB2312" w:cs="仿宋_GB2312" w:eastAsia="仿宋_GB2312"/>
                      <w:sz w:val="21"/>
                    </w:rPr>
                    <w:t>（</w:t>
                  </w:r>
                  <w:r>
                    <w:rPr>
                      <w:rFonts w:ascii="仿宋_GB2312" w:hAnsi="仿宋_GB2312" w:cs="仿宋_GB2312" w:eastAsia="仿宋_GB2312"/>
                      <w:sz w:val="21"/>
                    </w:rPr>
                    <w:t>mg/㎡·h））</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w:t>
                  </w:r>
                  <w:r>
                    <w:rPr>
                      <w:rFonts w:ascii="仿宋_GB2312" w:hAnsi="仿宋_GB2312" w:cs="仿宋_GB2312" w:eastAsia="仿宋_GB2312"/>
                      <w:sz w:val="21"/>
                    </w:rPr>
                    <w:t>1</w:t>
                  </w:r>
                </w:p>
              </w:tc>
            </w:tr>
            <w:tr>
              <w:tc>
                <w:tcPr>
                  <w:tcW w:type="dxa" w:w="186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有害物质释放量</w:t>
                  </w:r>
                  <w:r>
                    <w:rPr>
                      <w:rFonts w:ascii="仿宋_GB2312" w:hAnsi="仿宋_GB2312" w:cs="仿宋_GB2312" w:eastAsia="仿宋_GB2312"/>
                      <w:sz w:val="21"/>
                    </w:rPr>
                    <w:t>-甲苯、二甲苯、乙苯总和（mg/㎡·h））</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r>
            <w:tr>
              <w:tc>
                <w:tcPr>
                  <w:tcW w:type="dxa" w:w="186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有害物质释放量</w:t>
                  </w:r>
                  <w:r>
                    <w:rPr>
                      <w:rFonts w:ascii="仿宋_GB2312" w:hAnsi="仿宋_GB2312" w:cs="仿宋_GB2312" w:eastAsia="仿宋_GB2312"/>
                      <w:sz w:val="21"/>
                    </w:rPr>
                    <w:t>-二硫化碳（mg/㎡·h））</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.0</w:t>
                  </w:r>
                </w:p>
              </w:tc>
            </w:tr>
            <w:tr>
              <w:tc>
                <w:tcPr>
                  <w:tcW w:type="dxa" w:w="8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重金属含量（</w:t>
                  </w:r>
                  <w:r>
                    <w:rPr>
                      <w:rFonts w:ascii="仿宋_GB2312" w:hAnsi="仿宋_GB2312" w:cs="仿宋_GB2312" w:eastAsia="仿宋_GB2312"/>
                      <w:sz w:val="21"/>
                    </w:rPr>
                    <w:t>mg/kg）</w:t>
                  </w:r>
                </w:p>
              </w:tc>
              <w:tc>
                <w:tcPr>
                  <w:tcW w:type="dxa" w:w="10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可溶性汞</w:t>
                  </w:r>
                </w:p>
              </w:tc>
              <w:tc>
                <w:tcPr>
                  <w:tcW w:type="dxa" w:w="6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2</w:t>
                  </w:r>
                </w:p>
              </w:tc>
            </w:tr>
            <w:tr>
              <w:tc>
                <w:tcPr>
                  <w:tcW w:type="dxa" w:w="848"/>
                  <w:vMerge/>
                  <w:tcBorders>
                    <w:top w:val="none" w:color="000000" w:sz="4"/>
                    <w:left w:val="single" w:color="000000" w:sz="4"/>
                    <w:bottom w:val="single" w:color="000000" w:sz="4"/>
                    <w:right w:val="single" w:color="000000" w:sz="4"/>
                  </w:tcBorders>
                </w:tcPr>
                <w:p/>
              </w:tc>
              <w:tc>
                <w:tcPr>
                  <w:tcW w:type="dxa" w:w="10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可溶性</w:t>
                  </w:r>
                  <w:r>
                    <w:rPr>
                      <w:rFonts w:ascii="仿宋_GB2312" w:hAnsi="仿宋_GB2312" w:cs="仿宋_GB2312" w:eastAsia="仿宋_GB2312"/>
                      <w:sz w:val="21"/>
                    </w:rPr>
                    <w:t>铅</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50</w:t>
                  </w:r>
                </w:p>
              </w:tc>
            </w:tr>
            <w:tr>
              <w:tc>
                <w:tcPr>
                  <w:tcW w:type="dxa" w:w="848"/>
                  <w:vMerge/>
                  <w:tcBorders>
                    <w:top w:val="none" w:color="000000" w:sz="4"/>
                    <w:left w:val="single" w:color="000000" w:sz="4"/>
                    <w:bottom w:val="single" w:color="000000" w:sz="4"/>
                    <w:right w:val="single" w:color="000000" w:sz="4"/>
                  </w:tcBorders>
                </w:tcPr>
                <w:p/>
              </w:tc>
              <w:tc>
                <w:tcPr>
                  <w:tcW w:type="dxa" w:w="10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可溶性</w:t>
                  </w:r>
                  <w:r>
                    <w:rPr>
                      <w:rFonts w:ascii="仿宋_GB2312" w:hAnsi="仿宋_GB2312" w:cs="仿宋_GB2312" w:eastAsia="仿宋_GB2312"/>
                      <w:sz w:val="21"/>
                    </w:rPr>
                    <w:t>铬</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10</w:t>
                  </w:r>
                </w:p>
              </w:tc>
            </w:tr>
            <w:tr>
              <w:tc>
                <w:tcPr>
                  <w:tcW w:type="dxa" w:w="848"/>
                  <w:vMerge/>
                  <w:tcBorders>
                    <w:top w:val="none" w:color="000000" w:sz="4"/>
                    <w:left w:val="single" w:color="000000" w:sz="4"/>
                    <w:bottom w:val="single" w:color="000000" w:sz="4"/>
                    <w:right w:val="single" w:color="000000" w:sz="4"/>
                  </w:tcBorders>
                </w:tcPr>
                <w:p/>
              </w:tc>
              <w:tc>
                <w:tcPr>
                  <w:tcW w:type="dxa" w:w="10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可溶性</w:t>
                  </w:r>
                  <w:r>
                    <w:rPr>
                      <w:rFonts w:ascii="仿宋_GB2312" w:hAnsi="仿宋_GB2312" w:cs="仿宋_GB2312" w:eastAsia="仿宋_GB2312"/>
                      <w:sz w:val="21"/>
                    </w:rPr>
                    <w:t>镉</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10</w:t>
                  </w:r>
                </w:p>
              </w:tc>
            </w:tr>
          </w:tbl>
          <w:p>
            <w:pPr>
              <w:pStyle w:val="null3"/>
              <w:ind w:firstLine="480"/>
              <w:jc w:val="both"/>
            </w:pPr>
            <w:r>
              <w:rPr>
                <w:rFonts w:ascii="仿宋_GB2312" w:hAnsi="仿宋_GB2312" w:cs="仿宋_GB2312" w:eastAsia="仿宋_GB2312"/>
                <w:sz w:val="24"/>
              </w:rPr>
              <w:t>3.6硅PU产品成品要求</w:t>
            </w:r>
          </w:p>
          <w:p>
            <w:pPr>
              <w:pStyle w:val="null3"/>
              <w:ind w:firstLine="480"/>
              <w:jc w:val="both"/>
            </w:pPr>
            <w:r>
              <w:rPr>
                <w:rFonts w:ascii="仿宋_GB2312" w:hAnsi="仿宋_GB2312" w:cs="仿宋_GB2312" w:eastAsia="仿宋_GB2312"/>
                <w:sz w:val="24"/>
              </w:rPr>
              <w:t>①为保证产品的高质量及场地的耐用持久性，提供具有“CMA”资质检测机构依据GB36246-2018《中小学合成材料面层运动场地》对硅PU样块化学性能、物理性能及抗老化性能的检验检测报告，证明各项技术指标要求符合国家标准</w:t>
            </w:r>
          </w:p>
          <w:p>
            <w:pPr>
              <w:pStyle w:val="null3"/>
              <w:ind w:firstLine="480"/>
              <w:jc w:val="both"/>
            </w:pPr>
            <w:r>
              <w:rPr>
                <w:rFonts w:ascii="仿宋_GB2312" w:hAnsi="仿宋_GB2312" w:cs="仿宋_GB2312" w:eastAsia="仿宋_GB2312"/>
                <w:sz w:val="24"/>
              </w:rPr>
              <w:t>②硅PU球场涂料依据HJ457-2009《环境标志产品技术要求 防水涂料》各项检测均符合检测要求，并提供有效的环境标志产品认证检验报告</w:t>
            </w:r>
          </w:p>
          <w:p>
            <w:pPr>
              <w:pStyle w:val="null3"/>
              <w:ind w:firstLine="480"/>
              <w:jc w:val="both"/>
            </w:pPr>
            <w:r>
              <w:rPr>
                <w:rFonts w:ascii="仿宋_GB2312" w:hAnsi="仿宋_GB2312" w:cs="仿宋_GB2312" w:eastAsia="仿宋_GB2312"/>
                <w:sz w:val="24"/>
              </w:rPr>
              <w:t>③为保证球场材料具有专业运动性能，提供硅PU材料依据UV老化测试标准ASTM G154:2012测试持续600H后，样品外观无裂隙或分层现象、无起皮、无变化、无粉化的有效检测报告</w:t>
            </w:r>
          </w:p>
          <w:p>
            <w:pPr>
              <w:pStyle w:val="null3"/>
              <w:ind w:firstLine="480"/>
              <w:jc w:val="both"/>
            </w:pPr>
            <w:r>
              <w:rPr>
                <w:rFonts w:ascii="仿宋_GB2312" w:hAnsi="仿宋_GB2312" w:cs="仿宋_GB2312" w:eastAsia="仿宋_GB2312"/>
                <w:sz w:val="24"/>
              </w:rPr>
              <w:t>④为提高运动材料的安全及环保性能，硅PU样块提供权威检测机构出具关于产品依据ISO16000-6：2011检测VOC项28天挥发结果排放等级均为A+的专项检测报告</w:t>
            </w:r>
          </w:p>
          <w:p>
            <w:pPr>
              <w:pStyle w:val="null3"/>
              <w:ind w:firstLine="480"/>
              <w:jc w:val="both"/>
            </w:pPr>
            <w:r>
              <w:rPr>
                <w:rFonts w:ascii="仿宋_GB2312" w:hAnsi="仿宋_GB2312" w:cs="仿宋_GB2312" w:eastAsia="仿宋_GB2312"/>
                <w:sz w:val="24"/>
              </w:rPr>
              <w:t>⑤为提高运动球场材料性能更优，提供具有“CMA”和“CNAS”资质检测机构出具的硅PU样块耐热性（60℃、336h）、耐水性168h、后无起泡、无剥落、无开裂、无变色现象及耐玷污性不低于5次检测后产品等级为I级的检验检测报告</w:t>
            </w:r>
          </w:p>
          <w:p>
            <w:pPr>
              <w:pStyle w:val="null3"/>
              <w:ind w:firstLine="480"/>
              <w:jc w:val="both"/>
            </w:pPr>
            <w:r>
              <w:rPr>
                <w:rFonts w:ascii="仿宋_GB2312" w:hAnsi="仿宋_GB2312" w:cs="仿宋_GB2312" w:eastAsia="仿宋_GB2312"/>
                <w:sz w:val="24"/>
              </w:rPr>
              <w:t>⑥为确保硅PU产品阻燃性能更优，硅PU样块需提供符合GB/T 8626—2007建筑材料可燃性实验结果合格的检测报告</w:t>
            </w:r>
          </w:p>
          <w:p>
            <w:pPr>
              <w:pStyle w:val="null3"/>
              <w:ind w:firstLine="480"/>
              <w:jc w:val="both"/>
            </w:pPr>
            <w:r>
              <w:rPr>
                <w:rFonts w:ascii="仿宋_GB2312" w:hAnsi="仿宋_GB2312" w:cs="仿宋_GB2312" w:eastAsia="仿宋_GB2312"/>
                <w:sz w:val="24"/>
              </w:rPr>
              <w:t>⑦提供生产企业硅PU球场材料符合CQC5111-2021产品标准和技术要求的有效证书。</w:t>
            </w:r>
          </w:p>
          <w:p>
            <w:pPr>
              <w:pStyle w:val="null3"/>
              <w:ind w:firstLine="480"/>
              <w:jc w:val="both"/>
            </w:pPr>
            <w:r>
              <w:rPr>
                <w:rFonts w:ascii="仿宋_GB2312" w:hAnsi="仿宋_GB2312" w:cs="仿宋_GB2312" w:eastAsia="仿宋_GB2312"/>
                <w:sz w:val="24"/>
              </w:rPr>
              <w:t>3.7人造草坪技术参数</w:t>
            </w:r>
          </w:p>
          <w:p>
            <w:pPr>
              <w:pStyle w:val="null3"/>
              <w:ind w:firstLine="480"/>
              <w:jc w:val="both"/>
            </w:pPr>
            <w:r>
              <w:rPr>
                <w:rFonts w:ascii="仿宋_GB2312" w:hAnsi="仿宋_GB2312" w:cs="仿宋_GB2312" w:eastAsia="仿宋_GB2312"/>
                <w:sz w:val="24"/>
              </w:rPr>
              <w:t>材</w:t>
            </w:r>
            <w:r>
              <w:rPr>
                <w:rFonts w:ascii="仿宋_GB2312" w:hAnsi="仿宋_GB2312" w:cs="仿宋_GB2312" w:eastAsia="仿宋_GB2312"/>
                <w:sz w:val="24"/>
              </w:rPr>
              <w:t>质：</w:t>
            </w:r>
            <w:r>
              <w:rPr>
                <w:rFonts w:ascii="仿宋_GB2312" w:hAnsi="仿宋_GB2312" w:cs="仿宋_GB2312" w:eastAsia="仿宋_GB2312"/>
                <w:sz w:val="24"/>
              </w:rPr>
              <w:t>PE+PP</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草纤维形态：曲丝</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草</w:t>
            </w:r>
            <w:r>
              <w:rPr>
                <w:rFonts w:ascii="仿宋_GB2312" w:hAnsi="仿宋_GB2312" w:cs="仿宋_GB2312" w:eastAsia="仿宋_GB2312"/>
                <w:sz w:val="24"/>
              </w:rPr>
              <w:t>高：</w:t>
            </w:r>
            <w:r>
              <w:rPr>
                <w:rFonts w:ascii="仿宋_GB2312" w:hAnsi="仿宋_GB2312" w:cs="仿宋_GB2312" w:eastAsia="仿宋_GB2312"/>
                <w:sz w:val="24"/>
              </w:rPr>
              <w:t>15MM</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纤</w:t>
            </w:r>
            <w:r>
              <w:rPr>
                <w:rFonts w:ascii="仿宋_GB2312" w:hAnsi="仿宋_GB2312" w:cs="仿宋_GB2312" w:eastAsia="仿宋_GB2312"/>
                <w:sz w:val="24"/>
              </w:rPr>
              <w:t>度：</w:t>
            </w:r>
            <w:r>
              <w:rPr>
                <w:rFonts w:ascii="仿宋_GB2312" w:hAnsi="仿宋_GB2312" w:cs="仿宋_GB2312" w:eastAsia="仿宋_GB2312"/>
                <w:sz w:val="24"/>
              </w:rPr>
              <w:t>5500D</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针</w:t>
            </w:r>
            <w:r>
              <w:rPr>
                <w:rFonts w:ascii="仿宋_GB2312" w:hAnsi="仿宋_GB2312" w:cs="仿宋_GB2312" w:eastAsia="仿宋_GB2312"/>
                <w:sz w:val="24"/>
              </w:rPr>
              <w:t>距：</w:t>
            </w:r>
            <w:r>
              <w:rPr>
                <w:rFonts w:ascii="仿宋_GB2312" w:hAnsi="仿宋_GB2312" w:cs="仿宋_GB2312" w:eastAsia="仿宋_GB2312"/>
                <w:sz w:val="24"/>
              </w:rPr>
              <w:t>300针</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颜</w:t>
            </w:r>
            <w:r>
              <w:rPr>
                <w:rFonts w:ascii="仿宋_GB2312" w:hAnsi="仿宋_GB2312" w:cs="仿宋_GB2312" w:eastAsia="仿宋_GB2312"/>
                <w:sz w:val="24"/>
              </w:rPr>
              <w:t>色：深绿</w:t>
            </w:r>
            <w:r>
              <w:rPr>
                <w:rFonts w:ascii="仿宋_GB2312" w:hAnsi="仿宋_GB2312" w:cs="仿宋_GB2312" w:eastAsia="仿宋_GB2312"/>
                <w:sz w:val="24"/>
              </w:rPr>
              <w:t>+浅绿</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卷</w:t>
            </w:r>
            <w:r>
              <w:rPr>
                <w:rFonts w:ascii="仿宋_GB2312" w:hAnsi="仿宋_GB2312" w:cs="仿宋_GB2312" w:eastAsia="仿宋_GB2312"/>
                <w:sz w:val="24"/>
              </w:rPr>
              <w:t>幅：</w:t>
            </w:r>
            <w:r>
              <w:rPr>
                <w:rFonts w:ascii="仿宋_GB2312" w:hAnsi="仿宋_GB2312" w:cs="仿宋_GB2312" w:eastAsia="仿宋_GB2312"/>
                <w:sz w:val="24"/>
              </w:rPr>
              <w:t>4m</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卷</w:t>
            </w:r>
            <w:r>
              <w:rPr>
                <w:rFonts w:ascii="仿宋_GB2312" w:hAnsi="仿宋_GB2312" w:cs="仿宋_GB2312" w:eastAsia="仿宋_GB2312"/>
                <w:sz w:val="24"/>
              </w:rPr>
              <w:t>长：</w:t>
            </w:r>
            <w:r>
              <w:rPr>
                <w:rFonts w:ascii="仿宋_GB2312" w:hAnsi="仿宋_GB2312" w:cs="仿宋_GB2312" w:eastAsia="仿宋_GB2312"/>
                <w:sz w:val="24"/>
              </w:rPr>
              <w:t>25m(可根据场地尺寸订制）</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底</w:t>
            </w:r>
            <w:r>
              <w:rPr>
                <w:rFonts w:ascii="仿宋_GB2312" w:hAnsi="仿宋_GB2312" w:cs="仿宋_GB2312" w:eastAsia="仿宋_GB2312"/>
                <w:sz w:val="24"/>
              </w:rPr>
              <w:t>布：</w:t>
            </w:r>
            <w:r>
              <w:rPr>
                <w:rFonts w:ascii="仿宋_GB2312" w:hAnsi="仿宋_GB2312" w:cs="仿宋_GB2312" w:eastAsia="仿宋_GB2312"/>
                <w:sz w:val="24"/>
              </w:rPr>
              <w:t>PP布加网格布</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簇密度（簇</w:t>
            </w:r>
            <w:r>
              <w:rPr>
                <w:rFonts w:ascii="仿宋_GB2312" w:hAnsi="仿宋_GB2312" w:cs="仿宋_GB2312" w:eastAsia="仿宋_GB2312"/>
                <w:sz w:val="24"/>
              </w:rPr>
              <w:t>/㎡）：63000</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渗水性：：</w:t>
            </w:r>
            <w:r>
              <w:rPr>
                <w:rFonts w:ascii="仿宋_GB2312" w:hAnsi="仿宋_GB2312" w:cs="仿宋_GB2312" w:eastAsia="仿宋_GB2312"/>
                <w:sz w:val="24"/>
              </w:rPr>
              <w:t>≥63 L/min/㎡</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编织方式（</w:t>
            </w:r>
            <w:r>
              <w:rPr>
                <w:rFonts w:ascii="仿宋_GB2312" w:hAnsi="仿宋_GB2312" w:cs="仿宋_GB2312" w:eastAsia="仿宋_GB2312"/>
                <w:sz w:val="24"/>
              </w:rPr>
              <w:t>DIN6115标准）：簇状</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底布背胶：丁苯胶乳混合物</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涂胶方式：喷涂工艺</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草坪总重（</w:t>
            </w:r>
            <w:r>
              <w:rPr>
                <w:rFonts w:ascii="仿宋_GB2312" w:hAnsi="仿宋_GB2312" w:cs="仿宋_GB2312" w:eastAsia="仿宋_GB2312"/>
                <w:sz w:val="24"/>
              </w:rPr>
              <w:t>g/㎡）：2300 ±5%</w:t>
            </w:r>
          </w:p>
          <w:p>
            <w:pPr>
              <w:pStyle w:val="null3"/>
              <w:ind w:firstLine="482"/>
              <w:jc w:val="both"/>
            </w:pPr>
            <w:r>
              <w:rPr>
                <w:rFonts w:ascii="仿宋_GB2312" w:hAnsi="仿宋_GB2312" w:cs="仿宋_GB2312" w:eastAsia="仿宋_GB2312"/>
                <w:sz w:val="24"/>
                <w:b/>
              </w:rPr>
              <w:t>四、施工要求</w:t>
            </w:r>
          </w:p>
          <w:p>
            <w:pPr>
              <w:pStyle w:val="null3"/>
              <w:ind w:firstLine="480"/>
              <w:jc w:val="both"/>
            </w:pPr>
            <w:r>
              <w:rPr>
                <w:rFonts w:ascii="仿宋_GB2312" w:hAnsi="仿宋_GB2312" w:cs="仿宋_GB2312" w:eastAsia="仿宋_GB2312"/>
                <w:sz w:val="24"/>
              </w:rPr>
              <w:t>1、严格执行国家现行规范、标准。</w:t>
            </w:r>
          </w:p>
          <w:p>
            <w:pPr>
              <w:pStyle w:val="null3"/>
              <w:ind w:firstLine="480"/>
              <w:jc w:val="both"/>
            </w:pPr>
            <w:r>
              <w:rPr>
                <w:rFonts w:ascii="仿宋_GB2312" w:hAnsi="仿宋_GB2312" w:cs="仿宋_GB2312" w:eastAsia="仿宋_GB2312"/>
                <w:sz w:val="24"/>
              </w:rPr>
              <w:t>2、明确职责，严格岗位责任，齐心协力做好工作，确保工程按计划进行。</w:t>
            </w:r>
          </w:p>
          <w:p>
            <w:pPr>
              <w:pStyle w:val="null3"/>
              <w:jc w:val="both"/>
            </w:pPr>
            <w:r>
              <w:rPr>
                <w:rFonts w:ascii="仿宋_GB2312" w:hAnsi="仿宋_GB2312" w:cs="仿宋_GB2312" w:eastAsia="仿宋_GB2312"/>
                <w:sz w:val="24"/>
              </w:rPr>
              <w:t>3、加强管理，确保施工中的人员安全。</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工程的施工过程和成果必须符合国家有关工程建设标准强制性条文和国家或有关部门关于工程施工方面现行的标准、规范、规程、定额、办法、示例，以及陕西省关于工程施工方面的文件、规定。 承包人在施工过程中使用或参考上述标准、规范以外的技术标准、规范时，应征得业主或业主指定代表人的同意。 在施工过程中，如果国家或有关部门颁布了新的技术标准或规范，则承包人应采用新的标准或规范进行施工。</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（一）具有独立承担民事责任的能力：提供注册登记凭证（营业执照、其他组织经营的合法凭证，自然人的提供身份证明文件）。 （二）具有良好的商业信誉和健全的财务会计制度：提供2023年度或2024年度经审计的财务报告（包括四表一注，即资产负债表、利润表、现金流量表、所有者权益变动表及其附注）；事业法人提供部门决算报告；/或在磋商日期前六个月内其基本开户银行出具的资信证明（附《基本存款账户信息》或《银行开户许可证》复印件）； /或财政部门认可的政府采购专业担保机构出具的磋商担保函；/或表明具有良好的商业信誉和健全的财务会计制度的承诺函；以上四种形式的资料提供任何一种即可。 （三）具有履行合同所必需的设备和专业技术能力：提供承诺函。 （四）具有依法缴纳税收的良好记录：提供缴费所属日期为磋商截止时间前12个月内任意一个月（磋商截止时间当月不计入）的增值税（或所得税）缴费凭据或税务机关出具的完税证明/在法规范围内不需提供的应出具书面说明和证明文件；/或具有依法缴纳税收的承诺函；以上二种形式的资料提供任何一种即可。 （五）具有依法缴纳社会保障资金的良好记录：提供缴费所属日期为磋商截止时间前12个月内任意一个月（磋商截止时间当月不计入）的缴费凭据或社保机关出具的缴费证明/在法规范围内不需提供的应出具书面说明和证明文件；/或具有依法缴纳社会保障资金的缴纳记录的承诺函；以上二种形式的资料提供任何一种即可。 （六）参加政府采购活动前3年内在经营活动中没有重大违法记录的书面声明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报告（包括四表一注，即资产负债表、利润表、现金流量表、所有者权益变动表及其附注）；事业法人提供部门决算报告；/或在磋商日期前六个月内其基本开户银行出具的资信证明（附《基本存款账户信息》或《银行开户许可证》复印件）； /或财政部门认可的政府采购专业担保机构出具的磋商担保函；/或表明具有良好的商业信誉和健全的财务会计制度的承诺函；以上四种形式的资料提供任何一种即可。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具有建筑工程施工总承包三级及以上（含三级）资质；并具有有效的安全生产许可证。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w:t>
            </w:r>
          </w:p>
        </w:tc>
        <w:tc>
          <w:tcPr>
            <w:tcW w:type="dxa" w:w="3322"/>
          </w:tcPr>
          <w:p>
            <w:pPr>
              <w:pStyle w:val="null3"/>
            </w:pPr>
            <w:r>
              <w:rPr>
                <w:rFonts w:ascii="仿宋_GB2312" w:hAnsi="仿宋_GB2312" w:cs="仿宋_GB2312" w:eastAsia="仿宋_GB2312"/>
              </w:rPr>
              <w:t>拟派项目负责人（项目经理）要求须具备建筑工程专业二级（或以上）注册建造师执业资格，并具有合法有效的安全生产考核合格证（建安B证）；且未担任其他在施建设工程的项目经理。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列入失信被执行人、重大税收违法失信主体、政府采购严重违法失信行为记录名单的供应商，不得为“中国政府采购网”（www.ccgp.gov.cn）政府采购严重违法失信行为记录名单中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供应商应授权合法的人员参加磋商，其中法定代表人直接参加的，须出具法定代表人证明书；被授权代表参加的，须出具法定代表人授权书及被授权人社保证明（近6个月内任意1个月）。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磋商响应文件的完整性、有效性、响应性审查</w:t>
            </w:r>
          </w:p>
        </w:tc>
        <w:tc>
          <w:tcPr>
            <w:tcW w:type="dxa" w:w="3322"/>
          </w:tcPr>
          <w:p>
            <w:pPr>
              <w:pStyle w:val="null3"/>
            </w:pPr>
            <w:r>
              <w:rPr>
                <w:rFonts w:ascii="仿宋_GB2312" w:hAnsi="仿宋_GB2312" w:cs="仿宋_GB2312" w:eastAsia="仿宋_GB2312"/>
              </w:rPr>
              <w:t>磋商响应文件是否按照磋商文件要求的格式编写。磋商响应文件的签署、加盖印章是否有效。磋商报价是否未超过采购预算；磋商报价有效期是否符合磋商文件的要求；工期、质量是否满足磋商文件要求，已标价工程量清单符合磋商文件要求。</w:t>
            </w:r>
          </w:p>
        </w:tc>
        <w:tc>
          <w:tcPr>
            <w:tcW w:type="dxa" w:w="1661"/>
          </w:tcPr>
          <w:p>
            <w:pPr>
              <w:pStyle w:val="null3"/>
            </w:pPr>
            <w:r>
              <w:rPr>
                <w:rFonts w:ascii="仿宋_GB2312" w:hAnsi="仿宋_GB2312" w:cs="仿宋_GB2312" w:eastAsia="仿宋_GB2312"/>
              </w:rPr>
              <w:t>响应文件封面 已标价工程量清单 资格证明文件.docx 技术部分.docx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根据各供应商提供的总体实施方案等进行综合评审。 实施方案非常详细、完整，可行、有针对性，有利于项目实施的得(10-15]分； 实施方案比较详细完整、可行，较利于项目实施的得(5-10]分； 实施方案基本可行，基本满足项目实施需要的得(0-5]分。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安全作业管理</w:t>
            </w:r>
          </w:p>
        </w:tc>
        <w:tc>
          <w:tcPr>
            <w:tcW w:type="dxa" w:w="2492"/>
          </w:tcPr>
          <w:p>
            <w:pPr>
              <w:pStyle w:val="null3"/>
            </w:pPr>
            <w:r>
              <w:rPr>
                <w:rFonts w:ascii="仿宋_GB2312" w:hAnsi="仿宋_GB2312" w:cs="仿宋_GB2312" w:eastAsia="仿宋_GB2312"/>
              </w:rPr>
              <w:t>针对本项目提供具体的安全作业方案及安全配套措施进行综合评审。 针对本项目提供具体的安全作业方案及安全配套措施，且符合并优于采购人安全作业的要求，得(7-9]分； 针对本项目提供具体的安全作业方案及安全配套措施，基本符合采购人安全作业的要求，得(3-7]分； 针对本项目提供的安全作业方案及安全配套措施简陋，不能体现是否符合采购人安全作业的要求，得(0-3]分。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文明施工措施计划</w:t>
            </w:r>
          </w:p>
        </w:tc>
        <w:tc>
          <w:tcPr>
            <w:tcW w:type="dxa" w:w="2492"/>
          </w:tcPr>
          <w:p>
            <w:pPr>
              <w:pStyle w:val="null3"/>
            </w:pPr>
            <w:r>
              <w:rPr>
                <w:rFonts w:ascii="仿宋_GB2312" w:hAnsi="仿宋_GB2312" w:cs="仿宋_GB2312" w:eastAsia="仿宋_GB2312"/>
              </w:rPr>
              <w:t>针对本项目提供的文明施工措施计划进行综合评审。 措施计划完备齐全、合理、切实可行，得(6-8]分。 措施计划完备齐全、合理、基本可行，得(3-6]分。 措施计划基本完备齐全、合理性、可行性较差，得(0-3]分。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技术组织措施</w:t>
            </w:r>
          </w:p>
        </w:tc>
        <w:tc>
          <w:tcPr>
            <w:tcW w:type="dxa" w:w="2492"/>
          </w:tcPr>
          <w:p>
            <w:pPr>
              <w:pStyle w:val="null3"/>
            </w:pPr>
            <w:r>
              <w:rPr>
                <w:rFonts w:ascii="仿宋_GB2312" w:hAnsi="仿宋_GB2312" w:cs="仿宋_GB2312" w:eastAsia="仿宋_GB2312"/>
              </w:rPr>
              <w:t>根据供应商制定的确保工程质量及工期的技术组织措施进行综合评审。 措施计划完备齐全、合理、切实可行，得(6-9]分。 措施计划完备齐全、合理、基本可行，得(3-6]分。 措施计划基本完备齐全、合理性、可行性较差，得(0-3]分。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项目组织管理机构</w:t>
            </w:r>
          </w:p>
        </w:tc>
        <w:tc>
          <w:tcPr>
            <w:tcW w:type="dxa" w:w="2492"/>
          </w:tcPr>
          <w:p>
            <w:pPr>
              <w:pStyle w:val="null3"/>
            </w:pPr>
            <w:r>
              <w:rPr>
                <w:rFonts w:ascii="仿宋_GB2312" w:hAnsi="仿宋_GB2312" w:cs="仿宋_GB2312" w:eastAsia="仿宋_GB2312"/>
              </w:rPr>
              <w:t>针对本项目的项目组织管理机构配备。 机构设置合理，人员配备齐全，技术经验丰富，得(6-8]分； 机构设置合理，人员配备、技术经验一般，得(3-6]分； 机构设置、人员配备、技术经验较差，得(0-3]分。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根据供应商投入的施工机械配备和材料投入计划等进行评审。 施工机械配备合理和材料环保性较好，得(6-9]分； 施工机械配备和材料投入计划基本合理、可行，得(3-6]分； 施工机械配备和材料投入计划较差，得(0-3]分。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劳动力安排计划及劳务分包情况表</w:t>
            </w:r>
          </w:p>
        </w:tc>
        <w:tc>
          <w:tcPr>
            <w:tcW w:type="dxa" w:w="2492"/>
          </w:tcPr>
          <w:p>
            <w:pPr>
              <w:pStyle w:val="null3"/>
            </w:pPr>
            <w:r>
              <w:rPr>
                <w:rFonts w:ascii="仿宋_GB2312" w:hAnsi="仿宋_GB2312" w:cs="仿宋_GB2312" w:eastAsia="仿宋_GB2312"/>
              </w:rPr>
              <w:t>供应商就本项目劳动力安排计划及劳务分包情况表，根据合理、可行程度进行评审。 劳动力安排计划及劳务分包合理、可行，得(4-6]分。 劳动力安排计划及劳务分包基本可行，得(2-4]分。 劳动力安排计划及劳务分包可行性较差，得(0-2]分。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2022年1月1日起至今，供应商承担的类似项目业绩（以响应文件中合同复印件为准），每提供1份有效业绩得2分，最多得6分。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1、最终磋商评审报价最低的为评审基准价，得30分。 2、按（评审基准价/最终磋商评审报价×30）的公式计算其得分。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详见附件：技术部分.docx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