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版本号：ZSHZB-2025-21520250704001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雁塔区2025年照明设施维护服务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ZSHZB-2025-215</w:t>
      </w:r>
      <w:r>
        <w:br/>
      </w:r>
      <w:r>
        <w:br/>
      </w:r>
      <w:r>
        <w:br/>
      </w:r>
    </w:p>
    <w:p>
      <w:pPr>
        <w:pStyle w:val="null3"/>
        <w:jc w:val="center"/>
        <w:outlineLvl w:val="2"/>
      </w:pPr>
      <w:r>
        <w:rPr>
          <w:rFonts w:ascii="仿宋_GB2312" w:hAnsi="仿宋_GB2312" w:cs="仿宋_GB2312" w:eastAsia="仿宋_GB2312"/>
          <w:sz w:val="28"/>
          <w:b/>
        </w:rPr>
        <w:t>西安市雁塔区城市管理和综合执法局</w:t>
      </w:r>
    </w:p>
    <w:p>
      <w:pPr>
        <w:pStyle w:val="null3"/>
        <w:jc w:val="center"/>
        <w:outlineLvl w:val="2"/>
      </w:pPr>
      <w:r>
        <w:rPr>
          <w:rFonts w:ascii="仿宋_GB2312" w:hAnsi="仿宋_GB2312" w:cs="仿宋_GB2312" w:eastAsia="仿宋_GB2312"/>
          <w:sz w:val="28"/>
          <w:b/>
        </w:rPr>
        <w:t>陕西中盛禾项目咨询有限公司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陕西中盛禾项目咨询有限公司</w:t>
      </w:r>
      <w:r>
        <w:rPr>
          <w:rFonts w:ascii="仿宋_GB2312" w:hAnsi="仿宋_GB2312" w:cs="仿宋_GB2312" w:eastAsia="仿宋_GB2312"/>
        </w:rPr>
        <w:t>（以下简称“代理机构”）受</w:t>
      </w:r>
      <w:r>
        <w:rPr>
          <w:rFonts w:ascii="仿宋_GB2312" w:hAnsi="仿宋_GB2312" w:cs="仿宋_GB2312" w:eastAsia="仿宋_GB2312"/>
        </w:rPr>
        <w:t>西安市雁塔区城市管理和综合执法局</w:t>
      </w:r>
      <w:r>
        <w:rPr>
          <w:rFonts w:ascii="仿宋_GB2312" w:hAnsi="仿宋_GB2312" w:cs="仿宋_GB2312" w:eastAsia="仿宋_GB2312"/>
        </w:rPr>
        <w:t>委托，拟对</w:t>
      </w:r>
      <w:r>
        <w:rPr>
          <w:rFonts w:ascii="仿宋_GB2312" w:hAnsi="仿宋_GB2312" w:cs="仿宋_GB2312" w:eastAsia="仿宋_GB2312"/>
        </w:rPr>
        <w:t>雁塔区2025年照明设施维护服务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ZSHZB-2025-215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雁塔区2025年照明设施维护服务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雁塔区2025年照明设施维护服务</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采购包1（雁塔区2025年照明设施维护服务）：属于专门面向中小企业采购。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1、法定代表人身份证明/法定代表人授权委托书：法定代表人直接参加磋商的，须出具法定代表人身份证明及法人身份证；法定代表人授权代表参加磋商的，须出具法定代表人授权委托书和被授权人身份证；</w:t>
      </w:r>
    </w:p>
    <w:p>
      <w:pPr>
        <w:pStyle w:val="null3"/>
      </w:pPr>
      <w:r>
        <w:rPr>
          <w:rFonts w:ascii="仿宋_GB2312" w:hAnsi="仿宋_GB2312" w:cs="仿宋_GB2312" w:eastAsia="仿宋_GB2312"/>
        </w:rPr>
        <w:t>2、企业资质：供应商应具有建设行政主管部门颁发的城市及道路照明专业承包三级及以上或市政公用工程施工总承包三级及以上资质，且具备有效的安全生产许可证；</w:t>
      </w:r>
    </w:p>
    <w:p>
      <w:pPr>
        <w:pStyle w:val="null3"/>
      </w:pPr>
      <w:r>
        <w:rPr>
          <w:rFonts w:ascii="仿宋_GB2312" w:hAnsi="仿宋_GB2312" w:cs="仿宋_GB2312" w:eastAsia="仿宋_GB2312"/>
        </w:rPr>
        <w:t>3、项目经理资质：拟派项目经理需具备机电工程专业二级及以上注册建造师资格或市政公用工程专业二级及以上注册建造师资格,需具备有效的安全生产考核合格证书（建安 B 证），且无在建工程（以承诺书为准）；</w:t>
      </w:r>
    </w:p>
    <w:p>
      <w:pPr>
        <w:pStyle w:val="null3"/>
      </w:pPr>
      <w:r>
        <w:rPr>
          <w:rFonts w:ascii="仿宋_GB2312" w:hAnsi="仿宋_GB2312" w:cs="仿宋_GB2312" w:eastAsia="仿宋_GB2312"/>
        </w:rPr>
        <w:t>4、信用记录：供应商通过“信用中国”网站(www.creditchina.gov.cn)、中国政府采购网(www.ccgp.gov.cn)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西安市雁塔区丈八东路石油大学南区西侧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西安市雁塔区城市管理和综合执法局经办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029-89651811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陕西中盛禾项目咨询有限公司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陕西省西安市雁塔区陕西省西安市雁塔区太白南路甲字6号上上国际2403</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狄女士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18092735047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参考《国家计委关于印发&lt;招标代理服务收费管理暂行办法&gt;的通知》（计价格【2002】1980号）及《国家发改委关于降低部分建设项目收费标准规范收费行为等有关问题的通知》（发改价格[2011]534号）规定按标准收取。 2、成交单位在领取成交通知书前，须向采购代理机构一次性支付采购代理服务费。 3、招标代理服务费缴纳信息： 银行户名：陕西中盛禾项目咨询有限公司 开户行名称：交通银行股份有限公司西安大雁塔支行 账 号：611301053013002029330 联 系人：狄女士 联系电话：18092735047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西安市雁塔区城市管理和综合执法局</w:t>
      </w:r>
      <w:r>
        <w:rPr>
          <w:rFonts w:ascii="仿宋_GB2312" w:hAnsi="仿宋_GB2312" w:cs="仿宋_GB2312" w:eastAsia="仿宋_GB2312"/>
        </w:rPr>
        <w:t>和</w:t>
      </w:r>
      <w:r>
        <w:rPr>
          <w:rFonts w:ascii="仿宋_GB2312" w:hAnsi="仿宋_GB2312" w:cs="仿宋_GB2312" w:eastAsia="仿宋_GB2312"/>
        </w:rPr>
        <w:t>陕西中盛禾项目咨询有限公司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西安市雁塔区城市管理和综合执法局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陕西中盛禾项目咨询有限公司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陕西中盛禾项目咨询有限公司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1、磋商文件、响应文件、澄清表（函）； 2、合同及附件文本； 3、国家及行业现行的标准和技术规范。4、双方拟定的其他条款。</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陕西中盛禾项目咨询有限公司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联系人：狄女士</w:t>
      </w:r>
    </w:p>
    <w:p>
      <w:pPr>
        <w:pStyle w:val="null3"/>
      </w:pPr>
      <w:r>
        <w:rPr>
          <w:rFonts w:ascii="仿宋_GB2312" w:hAnsi="仿宋_GB2312" w:cs="仿宋_GB2312" w:eastAsia="仿宋_GB2312"/>
        </w:rPr>
        <w:t>联系电话：18092735047</w:t>
      </w:r>
    </w:p>
    <w:p>
      <w:pPr>
        <w:pStyle w:val="null3"/>
      </w:pPr>
      <w:r>
        <w:rPr>
          <w:rFonts w:ascii="仿宋_GB2312" w:hAnsi="仿宋_GB2312" w:cs="仿宋_GB2312" w:eastAsia="仿宋_GB2312"/>
        </w:rPr>
        <w:t>地址：西安市雁塔区太白南路上上国际2310室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本次项目采购内容为雁塔区2025年照明设施维护服务，管辖范围内照明设施包括：路灯及天桥照明设施，照明高压箱变7台,雁塔区政府建设的景观照明设施。</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450,000.00</w:t>
      </w:r>
    </w:p>
    <w:p>
      <w:pPr>
        <w:pStyle w:val="null3"/>
      </w:pPr>
      <w:r>
        <w:rPr>
          <w:rFonts w:ascii="仿宋_GB2312" w:hAnsi="仿宋_GB2312" w:cs="仿宋_GB2312" w:eastAsia="仿宋_GB2312"/>
        </w:rPr>
        <w:t>采购包最高限价（元）: 450,000.00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雁塔区2025年照明设施维护服务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建筑业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标的名称：雁塔区2025年照明设施维护服务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一、项目概况</w:t>
            </w:r>
          </w:p>
          <w:p>
            <w:pPr>
              <w:pStyle w:val="null3"/>
              <w:jc w:val="both"/>
            </w:pPr>
            <w:r>
              <w:rPr>
                <w:rFonts w:ascii="仿宋_GB2312" w:hAnsi="仿宋_GB2312" w:cs="仿宋_GB2312" w:eastAsia="仿宋_GB2312"/>
                <w:sz w:val="24"/>
              </w:rPr>
              <w:t>管辖范围内照明设施包括：路灯及天桥照明设施，照明高压箱变</w:t>
            </w:r>
            <w:r>
              <w:rPr>
                <w:rFonts w:ascii="仿宋_GB2312" w:hAnsi="仿宋_GB2312" w:cs="仿宋_GB2312" w:eastAsia="仿宋_GB2312"/>
                <w:sz w:val="24"/>
              </w:rPr>
              <w:t>7台,雁塔区政府建设的景观照明设施</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ind w:firstLine="480"/>
              <w:jc w:val="left"/>
            </w:pPr>
            <w:r>
              <w:rPr>
                <w:rFonts w:ascii="仿宋_GB2312" w:hAnsi="仿宋_GB2312" w:cs="仿宋_GB2312" w:eastAsia="仿宋_GB2312"/>
                <w:sz w:val="24"/>
              </w:rPr>
              <w:t>二、服务内容</w:t>
            </w:r>
          </w:p>
          <w:p>
            <w:pPr>
              <w:pStyle w:val="null3"/>
              <w:ind w:firstLine="480"/>
              <w:jc w:val="left"/>
            </w:pPr>
            <w:r>
              <w:rPr>
                <w:rFonts w:ascii="仿宋_GB2312" w:hAnsi="仿宋_GB2312" w:cs="仿宋_GB2312" w:eastAsia="仿宋_GB2312"/>
                <w:sz w:val="24"/>
              </w:rPr>
              <w:t>1、项目内容：景观照明隐患整治、路灯及天桥照明设施日常巡查维护、照明箱变的维护和检测等。</w:t>
            </w:r>
          </w:p>
          <w:p>
            <w:pPr>
              <w:pStyle w:val="null3"/>
              <w:ind w:firstLine="480"/>
              <w:jc w:val="left"/>
            </w:pPr>
            <w:r>
              <w:rPr>
                <w:rFonts w:ascii="仿宋_GB2312" w:hAnsi="仿宋_GB2312" w:cs="仿宋_GB2312" w:eastAsia="仿宋_GB2312"/>
                <w:sz w:val="24"/>
              </w:rPr>
              <w:t>2、项目地点：西安市雁塔区</w:t>
            </w:r>
          </w:p>
          <w:p>
            <w:pPr>
              <w:pStyle w:val="null3"/>
              <w:ind w:firstLine="480"/>
              <w:jc w:val="left"/>
            </w:pPr>
            <w:r>
              <w:rPr>
                <w:rFonts w:ascii="仿宋_GB2312" w:hAnsi="仿宋_GB2312" w:cs="仿宋_GB2312" w:eastAsia="仿宋_GB2312"/>
                <w:sz w:val="24"/>
              </w:rPr>
              <w:t>3、服务期：自合同签订之日起一年</w:t>
            </w:r>
          </w:p>
          <w:p>
            <w:pPr>
              <w:pStyle w:val="null3"/>
              <w:jc w:val="both"/>
            </w:pPr>
            <w:r>
              <w:rPr>
                <w:rFonts w:ascii="仿宋_GB2312" w:hAnsi="仿宋_GB2312" w:cs="仿宋_GB2312" w:eastAsia="仿宋_GB2312"/>
                <w:sz w:val="24"/>
              </w:rPr>
              <w:t>4、质量保修期: 一年</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ind w:firstLine="480"/>
              <w:jc w:val="left"/>
            </w:pPr>
            <w:r>
              <w:rPr>
                <w:rFonts w:ascii="仿宋_GB2312" w:hAnsi="仿宋_GB2312" w:cs="仿宋_GB2312" w:eastAsia="仿宋_GB2312"/>
              </w:rPr>
              <w:t>三、</w:t>
            </w:r>
            <w:r>
              <w:rPr>
                <w:rFonts w:ascii="仿宋_GB2312" w:hAnsi="仿宋_GB2312" w:cs="仿宋_GB2312" w:eastAsia="仿宋_GB2312"/>
                <w:sz w:val="24"/>
              </w:rPr>
              <w:t>服务要求</w:t>
            </w:r>
          </w:p>
          <w:p>
            <w:pPr>
              <w:pStyle w:val="null3"/>
              <w:ind w:firstLine="480"/>
              <w:jc w:val="left"/>
            </w:pPr>
            <w:r>
              <w:rPr>
                <w:rFonts w:ascii="仿宋_GB2312" w:hAnsi="仿宋_GB2312" w:cs="仿宋_GB2312" w:eastAsia="仿宋_GB2312"/>
                <w:sz w:val="24"/>
              </w:rPr>
              <w:t>1、确保雁塔区城管局管辖范围内的所有路灯正常点亮；</w:t>
            </w:r>
          </w:p>
          <w:p>
            <w:pPr>
              <w:pStyle w:val="null3"/>
              <w:ind w:firstLine="480"/>
              <w:jc w:val="left"/>
            </w:pPr>
            <w:r>
              <w:rPr>
                <w:rFonts w:ascii="仿宋_GB2312" w:hAnsi="仿宋_GB2312" w:cs="仿宋_GB2312" w:eastAsia="仿宋_GB2312"/>
                <w:sz w:val="24"/>
              </w:rPr>
              <w:t>2、每周对雁塔区城管局管辖的所有照明设施进行一次排查，并形成排查台账。</w:t>
            </w:r>
          </w:p>
          <w:p>
            <w:pPr>
              <w:pStyle w:val="null3"/>
              <w:ind w:firstLine="480"/>
              <w:jc w:val="left"/>
            </w:pPr>
            <w:r>
              <w:rPr>
                <w:rFonts w:ascii="仿宋_GB2312" w:hAnsi="仿宋_GB2312" w:cs="仿宋_GB2312" w:eastAsia="仿宋_GB2312"/>
                <w:sz w:val="24"/>
              </w:rPr>
              <w:t>3、安全责任：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1）供应商承担所有服务实施过程中造成的人身伤亡责任和财产损失责任，包含其他一切第三方人员的人身伤害的责任及财产损失责任；</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2）合同签订前，服务商应对安全生产条件进行确认，对需要甲方配合完善的安全生产条件及时提出。合同签订后视为已经认可开工条件完备，服务商后续安全责任自负；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3）安全责任直至项目实际验收通过，不以合同工期限制其效力。</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ind w:firstLine="480"/>
              <w:jc w:val="left"/>
            </w:pPr>
            <w:r>
              <w:rPr>
                <w:rFonts w:ascii="仿宋_GB2312" w:hAnsi="仿宋_GB2312" w:cs="仿宋_GB2312" w:eastAsia="仿宋_GB2312"/>
              </w:rPr>
              <w:t>四、</w:t>
            </w:r>
            <w:r>
              <w:rPr>
                <w:rFonts w:ascii="仿宋_GB2312" w:hAnsi="仿宋_GB2312" w:cs="仿宋_GB2312" w:eastAsia="仿宋_GB2312"/>
                <w:sz w:val="24"/>
              </w:rPr>
              <w:t>款项结算</w:t>
            </w:r>
          </w:p>
          <w:p>
            <w:pPr>
              <w:pStyle w:val="null3"/>
              <w:ind w:firstLine="480"/>
              <w:jc w:val="left"/>
            </w:pPr>
            <w:r>
              <w:rPr>
                <w:rFonts w:ascii="仿宋_GB2312" w:hAnsi="仿宋_GB2312" w:cs="仿宋_GB2312" w:eastAsia="仿宋_GB2312"/>
                <w:sz w:val="24"/>
              </w:rPr>
              <w:t>合同签订后甲方于</w:t>
            </w:r>
            <w:r>
              <w:rPr>
                <w:rFonts w:ascii="仿宋_GB2312" w:hAnsi="仿宋_GB2312" w:cs="仿宋_GB2312" w:eastAsia="仿宋_GB2312"/>
                <w:sz w:val="24"/>
              </w:rPr>
              <w:t>30日内支付乙方合同金额的40%作为预付款，剩余60%的款项，经结算审计后于30日内一次性支付。（乙方提供等额发票）</w:t>
            </w:r>
          </w:p>
        </w:tc>
      </w:tr>
      <w:tr>
        <w:tc>
          <w:tcPr>
            <w:tcW w:type="dxa" w:w="2769"/>
          </w:tcPr>
          <w:p>
            <w:pPr>
              <w:pStyle w:val="null3"/>
            </w:pPr>
            <w:r>
              <w:rPr>
                <w:rFonts w:ascii="仿宋_GB2312" w:hAnsi="仿宋_GB2312" w:cs="仿宋_GB2312" w:eastAsia="仿宋_GB2312"/>
              </w:rPr>
              <w:t>5</w:t>
            </w:r>
          </w:p>
        </w:tc>
        <w:tc>
          <w:tcPr>
            <w:tcW w:type="dxa" w:w="2769"/>
          </w:tcPr>
          <w:p/>
        </w:tc>
        <w:tc>
          <w:tcPr>
            <w:tcW w:type="dxa" w:w="2769"/>
          </w:tcPr>
          <w:p>
            <w:pPr>
              <w:pStyle w:val="null3"/>
              <w:ind w:firstLine="480"/>
              <w:jc w:val="left"/>
            </w:pPr>
            <w:r>
              <w:rPr>
                <w:rFonts w:ascii="仿宋_GB2312" w:hAnsi="仿宋_GB2312" w:cs="仿宋_GB2312" w:eastAsia="仿宋_GB2312"/>
                <w:sz w:val="24"/>
              </w:rPr>
              <w:t>五、其他要求</w:t>
            </w:r>
          </w:p>
          <w:p>
            <w:pPr>
              <w:pStyle w:val="null3"/>
            </w:pPr>
            <w:r>
              <w:rPr>
                <w:rFonts w:ascii="仿宋_GB2312" w:hAnsi="仿宋_GB2312" w:cs="仿宋_GB2312" w:eastAsia="仿宋_GB2312"/>
                <w:sz w:val="24"/>
              </w:rPr>
              <w:t xml:space="preserve">    1、进度</w:t>
            </w:r>
            <w:r>
              <w:rPr>
                <w:rFonts w:ascii="仿宋_GB2312" w:hAnsi="仿宋_GB2312" w:cs="仿宋_GB2312" w:eastAsia="仿宋_GB2312"/>
                <w:sz w:val="24"/>
              </w:rPr>
              <w:t>要求</w:t>
            </w:r>
          </w:p>
          <w:p>
            <w:pPr>
              <w:pStyle w:val="null3"/>
              <w:ind w:firstLine="480"/>
              <w:jc w:val="left"/>
            </w:pPr>
            <w:r>
              <w:rPr>
                <w:rFonts w:ascii="仿宋_GB2312" w:hAnsi="仿宋_GB2312" w:cs="仿宋_GB2312" w:eastAsia="仿宋_GB2312"/>
                <w:sz w:val="24"/>
              </w:rPr>
              <w:t>供应商应根据甲方分派巡查维护任务之日起</w:t>
            </w:r>
            <w:r>
              <w:rPr>
                <w:rFonts w:ascii="仿宋_GB2312" w:hAnsi="仿宋_GB2312" w:cs="仿宋_GB2312" w:eastAsia="仿宋_GB2312"/>
                <w:sz w:val="24"/>
              </w:rPr>
              <w:t>48小时内完成相关工作，并报送相关资料。</w:t>
            </w:r>
          </w:p>
          <w:p>
            <w:pPr>
              <w:pStyle w:val="null3"/>
              <w:ind w:firstLine="480"/>
              <w:jc w:val="left"/>
            </w:pPr>
            <w:r>
              <w:rPr>
                <w:rFonts w:ascii="仿宋_GB2312" w:hAnsi="仿宋_GB2312" w:cs="仿宋_GB2312" w:eastAsia="仿宋_GB2312"/>
                <w:sz w:val="24"/>
              </w:rPr>
              <w:t>2、成果交付要求</w:t>
            </w:r>
          </w:p>
          <w:p>
            <w:pPr>
              <w:pStyle w:val="null3"/>
              <w:ind w:firstLine="480"/>
              <w:jc w:val="left"/>
            </w:pPr>
            <w:r>
              <w:rPr>
                <w:rFonts w:ascii="仿宋_GB2312" w:hAnsi="仿宋_GB2312" w:cs="仿宋_GB2312" w:eastAsia="仿宋_GB2312"/>
                <w:sz w:val="24"/>
              </w:rPr>
              <w:t>项目完成后，供应商应提供该项的巡查维护维修台账。</w:t>
            </w:r>
          </w:p>
          <w:p>
            <w:pPr>
              <w:pStyle w:val="null3"/>
              <w:ind w:firstLine="480"/>
              <w:jc w:val="left"/>
            </w:pPr>
            <w:r>
              <w:rPr>
                <w:rFonts w:ascii="仿宋_GB2312" w:hAnsi="仿宋_GB2312" w:cs="仿宋_GB2312" w:eastAsia="仿宋_GB2312"/>
                <w:sz w:val="24"/>
              </w:rPr>
              <w:t>3、质量验收标准或规范</w:t>
            </w:r>
          </w:p>
          <w:p>
            <w:pPr>
              <w:pStyle w:val="null3"/>
              <w:ind w:firstLine="480"/>
              <w:jc w:val="left"/>
            </w:pPr>
            <w:r>
              <w:rPr>
                <w:rFonts w:ascii="仿宋_GB2312" w:hAnsi="仿宋_GB2312" w:cs="仿宋_GB2312" w:eastAsia="仿宋_GB2312"/>
                <w:sz w:val="24"/>
              </w:rPr>
              <w:t>《城市道路照明设计标准》</w:t>
            </w:r>
            <w:r>
              <w:rPr>
                <w:rFonts w:ascii="仿宋_GB2312" w:hAnsi="仿宋_GB2312" w:cs="仿宋_GB2312" w:eastAsia="仿宋_GB2312"/>
                <w:sz w:val="24"/>
              </w:rPr>
              <w:t>CJJ 45</w:t>
            </w:r>
          </w:p>
          <w:p>
            <w:pPr>
              <w:pStyle w:val="null3"/>
              <w:ind w:firstLine="480"/>
              <w:jc w:val="left"/>
            </w:pPr>
            <w:r>
              <w:rPr>
                <w:rFonts w:ascii="仿宋_GB2312" w:hAnsi="仿宋_GB2312" w:cs="仿宋_GB2312" w:eastAsia="仿宋_GB2312"/>
                <w:sz w:val="24"/>
              </w:rPr>
              <w:t>《城市道路照明工程施工及验收规程》</w:t>
            </w:r>
            <w:r>
              <w:rPr>
                <w:rFonts w:ascii="仿宋_GB2312" w:hAnsi="仿宋_GB2312" w:cs="仿宋_GB2312" w:eastAsia="仿宋_GB2312"/>
                <w:sz w:val="24"/>
              </w:rPr>
              <w:t>CJJ 89</w:t>
            </w:r>
          </w:p>
          <w:p>
            <w:pPr>
              <w:pStyle w:val="null3"/>
              <w:ind w:firstLine="480"/>
              <w:jc w:val="left"/>
            </w:pPr>
            <w:r>
              <w:rPr>
                <w:rFonts w:ascii="仿宋_GB2312" w:hAnsi="仿宋_GB2312" w:cs="仿宋_GB2312" w:eastAsia="仿宋_GB2312"/>
                <w:sz w:val="24"/>
              </w:rPr>
              <w:t>《城市夜景照明设计规范》</w:t>
            </w:r>
            <w:r>
              <w:rPr>
                <w:rFonts w:ascii="仿宋_GB2312" w:hAnsi="仿宋_GB2312" w:cs="仿宋_GB2312" w:eastAsia="仿宋_GB2312"/>
                <w:sz w:val="24"/>
              </w:rPr>
              <w:t>JGJ/T 163</w:t>
            </w:r>
          </w:p>
          <w:p>
            <w:pPr>
              <w:pStyle w:val="null3"/>
              <w:ind w:firstLine="480"/>
              <w:jc w:val="left"/>
            </w:pPr>
            <w:r>
              <w:rPr>
                <w:rFonts w:ascii="仿宋_GB2312" w:hAnsi="仿宋_GB2312" w:cs="仿宋_GB2312" w:eastAsia="仿宋_GB2312"/>
                <w:sz w:val="24"/>
              </w:rPr>
              <w:t>《高压</w:t>
            </w:r>
            <w:r>
              <w:rPr>
                <w:rFonts w:ascii="仿宋_GB2312" w:hAnsi="仿宋_GB2312" w:cs="仿宋_GB2312" w:eastAsia="仿宋_GB2312"/>
                <w:sz w:val="24"/>
              </w:rPr>
              <w:t>/低压预装式变电站》GB/T 17467</w:t>
            </w:r>
          </w:p>
          <w:p>
            <w:pPr>
              <w:pStyle w:val="null3"/>
              <w:ind w:firstLine="480"/>
              <w:jc w:val="left"/>
            </w:pPr>
            <w:r>
              <w:rPr>
                <w:rFonts w:ascii="仿宋_GB2312" w:hAnsi="仿宋_GB2312" w:cs="仿宋_GB2312" w:eastAsia="仿宋_GB2312"/>
                <w:sz w:val="24"/>
              </w:rPr>
              <w:t>注：如有最新的法律法规、技术规范发布，按最新的文件执行。</w:t>
            </w:r>
          </w:p>
          <w:p>
            <w:pPr>
              <w:pStyle w:val="null3"/>
              <w:ind w:firstLine="480"/>
              <w:jc w:val="left"/>
            </w:pPr>
            <w:r>
              <w:rPr>
                <w:rFonts w:ascii="仿宋_GB2312" w:hAnsi="仿宋_GB2312" w:cs="仿宋_GB2312" w:eastAsia="仿宋_GB2312"/>
                <w:sz w:val="24"/>
              </w:rPr>
              <w:t>4、违约责任</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）发包人违约。当发生下列情况时：</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）发包人不按合同约定支付</w:t>
            </w:r>
            <w:r>
              <w:rPr>
                <w:rFonts w:ascii="仿宋_GB2312" w:hAnsi="仿宋_GB2312" w:cs="仿宋_GB2312" w:eastAsia="仿宋_GB2312"/>
                <w:sz w:val="24"/>
              </w:rPr>
              <w:t>服务</w:t>
            </w:r>
            <w:r>
              <w:rPr>
                <w:rFonts w:ascii="仿宋_GB2312" w:hAnsi="仿宋_GB2312" w:cs="仿宋_GB2312" w:eastAsia="仿宋_GB2312"/>
                <w:sz w:val="24"/>
              </w:rPr>
              <w:t>款，导致施工无法进行；</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）发包人无正当理由不支付结算价款；</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）发包人不履行合同义务或不按合同约定履行义务的其他情况。</w:t>
            </w:r>
          </w:p>
          <w:p>
            <w:pPr>
              <w:pStyle w:val="null3"/>
              <w:ind w:firstLine="480"/>
              <w:jc w:val="left"/>
            </w:pPr>
            <w:r>
              <w:rPr>
                <w:rFonts w:ascii="仿宋_GB2312" w:hAnsi="仿宋_GB2312" w:cs="仿宋_GB2312" w:eastAsia="仿宋_GB2312"/>
                <w:sz w:val="24"/>
              </w:rPr>
              <w:t>发包人承担违约责任，赔偿因其违约给承包人造成的经济损失，顺延延误的工期。双方在专用条款内约定发包人赔偿承包人损失的计算方法或者发包人应当支付违约金的数额和计算方法。</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成交供应商</w:t>
            </w:r>
            <w:r>
              <w:rPr>
                <w:rFonts w:ascii="仿宋_GB2312" w:hAnsi="仿宋_GB2312" w:cs="仿宋_GB2312" w:eastAsia="仿宋_GB2312"/>
                <w:sz w:val="24"/>
              </w:rPr>
              <w:t>违约。当发生下列情况时：</w:t>
            </w:r>
          </w:p>
          <w:p>
            <w:pPr>
              <w:pStyle w:val="null3"/>
              <w:ind w:firstLine="480"/>
              <w:jc w:val="left"/>
            </w:pPr>
            <w:r>
              <w:rPr>
                <w:rFonts w:ascii="仿宋_GB2312" w:hAnsi="仿宋_GB2312" w:cs="仿宋_GB2312" w:eastAsia="仿宋_GB2312"/>
                <w:sz w:val="24"/>
              </w:rPr>
              <w:t>1）因</w:t>
            </w:r>
            <w:r>
              <w:rPr>
                <w:rFonts w:ascii="仿宋_GB2312" w:hAnsi="仿宋_GB2312" w:cs="仿宋_GB2312" w:eastAsia="仿宋_GB2312"/>
                <w:sz w:val="24"/>
              </w:rPr>
              <w:t>供应商</w:t>
            </w:r>
            <w:r>
              <w:rPr>
                <w:rFonts w:ascii="仿宋_GB2312" w:hAnsi="仿宋_GB2312" w:cs="仿宋_GB2312" w:eastAsia="仿宋_GB2312"/>
                <w:sz w:val="24"/>
              </w:rPr>
              <w:t>原因不能按照</w:t>
            </w:r>
            <w:r>
              <w:rPr>
                <w:rFonts w:ascii="仿宋_GB2312" w:hAnsi="仿宋_GB2312" w:cs="仿宋_GB2312" w:eastAsia="仿宋_GB2312"/>
                <w:sz w:val="24"/>
              </w:rPr>
              <w:t>合同内容完成相关服务</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2）因</w:t>
            </w:r>
            <w:r>
              <w:rPr>
                <w:rFonts w:ascii="仿宋_GB2312" w:hAnsi="仿宋_GB2312" w:cs="仿宋_GB2312" w:eastAsia="仿宋_GB2312"/>
                <w:sz w:val="24"/>
              </w:rPr>
              <w:t>供应商</w:t>
            </w:r>
            <w:r>
              <w:rPr>
                <w:rFonts w:ascii="仿宋_GB2312" w:hAnsi="仿宋_GB2312" w:cs="仿宋_GB2312" w:eastAsia="仿宋_GB2312"/>
                <w:sz w:val="24"/>
              </w:rPr>
              <w:t>原因工程质量达不到</w:t>
            </w:r>
            <w:r>
              <w:rPr>
                <w:rFonts w:ascii="仿宋_GB2312" w:hAnsi="仿宋_GB2312" w:cs="仿宋_GB2312" w:eastAsia="仿宋_GB2312"/>
                <w:sz w:val="24"/>
              </w:rPr>
              <w:t>合同</w:t>
            </w:r>
            <w:r>
              <w:rPr>
                <w:rFonts w:ascii="仿宋_GB2312" w:hAnsi="仿宋_GB2312" w:cs="仿宋_GB2312" w:eastAsia="仿宋_GB2312"/>
                <w:sz w:val="24"/>
              </w:rPr>
              <w:t>约定的质量标准；</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供应商</w:t>
            </w:r>
            <w:r>
              <w:rPr>
                <w:rFonts w:ascii="仿宋_GB2312" w:hAnsi="仿宋_GB2312" w:cs="仿宋_GB2312" w:eastAsia="仿宋_GB2312"/>
                <w:sz w:val="24"/>
              </w:rPr>
              <w:t>不履行合同义务或不按合同约定履行义务的其他情况。</w:t>
            </w:r>
          </w:p>
          <w:p>
            <w:pPr>
              <w:pStyle w:val="null3"/>
              <w:ind w:firstLine="480"/>
              <w:jc w:val="left"/>
            </w:pPr>
            <w:r>
              <w:rPr>
                <w:rFonts w:ascii="仿宋_GB2312" w:hAnsi="仿宋_GB2312" w:cs="仿宋_GB2312" w:eastAsia="仿宋_GB2312"/>
                <w:sz w:val="24"/>
              </w:rPr>
              <w:t>供应商</w:t>
            </w:r>
            <w:r>
              <w:rPr>
                <w:rFonts w:ascii="仿宋_GB2312" w:hAnsi="仿宋_GB2312" w:cs="仿宋_GB2312" w:eastAsia="仿宋_GB2312"/>
                <w:sz w:val="24"/>
              </w:rPr>
              <w:t>承担违约责任，赔偿因其违约给发包人造成的损失。双方在专用条款内约定承包人赔偿发包人损失的计算方法或者承包人应当支付违约金的数额和计算方法。</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）一方违约后，另一方要求违约方继续履行合同时，违约方承担上述违约责任后仍应继续履行合同。</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详见采购文件</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西安市雁塔区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满足现行的国家标准或国家行政部门颁布的法律法规、规章制度及采购需求。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经结算审计后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详见合同条款</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1、提供有效存续的企业营业执照/事业单位法人证书/专业服务机构执业许可证/民办非企业单位登记证书，自然人投标的提供其身份证明； 2、提供2024年度经审计的完整财务报告（成立时间至提交响应文件截止时间不足一年的可提供成立后任意时段的资产负债表），或其磋商前六个月内基本开户银行出具的资信证明及其基本存款账户开户许可证（无基本存款账户开户许可证可提供其基本存款账户信息证明）；（以上两种形式的资料提供任何一种即可） 3、提供截止磋商前六个月内已缴纳任意一个月纳税证明或税务机关开具的完税证明（时间以税款所属日期为准，凭据应有税务机关或代收机关的公章或业务专用章。）依法免税或无须缴纳税收的单位应提供相应证明文件； 4、提供截止磋商前六个月内已缴存任意一个月社会保障资金缴存单据或社保机构开具的社会保险参保缴费证明，依法不需要缴纳社会保障资金的单位应提供相应证明文件； 5、具备履行合同所必需的设备和专业技术能力的证明材料或书面声明； 6、参加政府采购活动前三年内在经营活动中没有重大违法记录的书面声明。 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法定代表人直接参加磋商的，须出具法定代表人身份证明及法人身份证；法定代表人授权代表参加磋商的，须出具法定代表人授权委托书和被授权人身份证；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供应商应具有建设行政主管部门颁发的城市及道路照明专业承包三级及以上或市政公用工程施工总承包三级及以上资质，且具备有效的安全生产许可证；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拟派项目经理需具备机电工程专业二级及以上注册建造师资格或市政公用工程专业二级及以上注册建造师资格,需具备有效的安全生产考核合格证书（建安 B 证），且无在建工程（以承诺书为准）；</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对列入失信被执行人、重大税收违法失信主体、政府采购严重违法失信行为记录名单及其他不符合《中华人民共和国政府采购法》第二十二条规定条件的供应商，采购代理机构将拒绝其参与政府采购活动。）</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 报价明细表.docx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响应文件上法定代表人（单位负责人）或其授权委托人的签字齐全并加盖单位章</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残疾人福利性单位声明函 标的清单 供应商需补充的其他内容.docx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所有提交的证件、文件与印章一致</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残疾人福利性单位声明函 标的清单 供应商需补充的其他内容.docx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响应文件内容符合磋商文件的要求</w:t>
            </w:r>
          </w:p>
        </w:tc>
        <w:tc>
          <w:tcPr>
            <w:tcW w:type="dxa" w:w="1661"/>
          </w:tcPr>
          <w:p>
            <w:pPr>
              <w:pStyle w:val="null3"/>
            </w:pPr>
            <w:r>
              <w:rPr>
                <w:rFonts w:ascii="仿宋_GB2312" w:hAnsi="仿宋_GB2312" w:cs="仿宋_GB2312" w:eastAsia="仿宋_GB2312"/>
              </w:rPr>
              <w:t>服务内容及服务邀请应答表 中小企业声明函 商务应答表 报价表 响应文件封面 供应商应提交的相关资格证明材料.docx 残疾人福利性单位声明函 标的清单 供应商需补充的其他内容.docx 业绩的相关证明材料.docx 响应函 服务方案.docx 监狱企业的证明文件 报价明细表.docx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服务内容及服务邀请应答表 商务应答表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针对本项目提供可行的实施方案。 方案总体思路清晰、合理、可操作性强、可执行程度高且能很好推动项目实施的计9.1-15分；方案思路基本明确、可行性、合理性较为合理的计5.1-9分；方案思路模糊、可行性、合理性一般的计0-5分。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项目经理部组成及劳动力投入</w:t>
            </w:r>
          </w:p>
        </w:tc>
        <w:tc>
          <w:tcPr>
            <w:tcW w:type="dxa" w:w="2492"/>
          </w:tcPr>
          <w:p>
            <w:pPr>
              <w:pStyle w:val="null3"/>
            </w:pPr>
            <w:r>
              <w:rPr>
                <w:rFonts w:ascii="仿宋_GB2312" w:hAnsi="仿宋_GB2312" w:cs="仿宋_GB2312" w:eastAsia="仿宋_GB2312"/>
              </w:rPr>
              <w:t>人员搭配合理、数量充足、经验丰富、证明材料详尽的计4.1-9分；人员搭配较为合理、数量较充足、经验一般的计0-4分。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供应商需补充的其他内容.docx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投入材料及设备的配备情况</w:t>
            </w:r>
          </w:p>
        </w:tc>
        <w:tc>
          <w:tcPr>
            <w:tcW w:type="dxa" w:w="2492"/>
          </w:tcPr>
          <w:p>
            <w:pPr>
              <w:pStyle w:val="null3"/>
            </w:pPr>
            <w:r>
              <w:rPr>
                <w:rFonts w:ascii="仿宋_GB2312" w:hAnsi="仿宋_GB2312" w:cs="仿宋_GB2312" w:eastAsia="仿宋_GB2312"/>
              </w:rPr>
              <w:t>材料及设备安排合理、完整性强的计4.1-8分；材料及设备安排较为简单，针对性一般的计0-4分。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确保本项目质量的技术组织措施</w:t>
            </w:r>
          </w:p>
        </w:tc>
        <w:tc>
          <w:tcPr>
            <w:tcW w:type="dxa" w:w="2492"/>
          </w:tcPr>
          <w:p>
            <w:pPr>
              <w:pStyle w:val="null3"/>
            </w:pPr>
            <w:r>
              <w:rPr>
                <w:rFonts w:ascii="仿宋_GB2312" w:hAnsi="仿宋_GB2312" w:cs="仿宋_GB2312" w:eastAsia="仿宋_GB2312"/>
              </w:rPr>
              <w:t>措施内容科学可行、有针对性且内容详细的计4.1-8分；措施内容较为可行、内容简单的计0-4分。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安全生产技术组织措施</w:t>
            </w:r>
          </w:p>
        </w:tc>
        <w:tc>
          <w:tcPr>
            <w:tcW w:type="dxa" w:w="2492"/>
          </w:tcPr>
          <w:p>
            <w:pPr>
              <w:pStyle w:val="null3"/>
            </w:pPr>
            <w:r>
              <w:rPr>
                <w:rFonts w:ascii="仿宋_GB2312" w:hAnsi="仿宋_GB2312" w:cs="仿宋_GB2312" w:eastAsia="仿宋_GB2312"/>
              </w:rPr>
              <w:t>措施内容科学可行、有针对性且内容详细的计4.1-8分；措施内容较为可行、针对性一般的计0-4分。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w:t>
            </w:r>
          </w:p>
        </w:tc>
        <w:tc>
          <w:tcPr>
            <w:tcW w:type="dxa" w:w="2492"/>
          </w:tcPr>
          <w:p>
            <w:pPr>
              <w:pStyle w:val="null3"/>
            </w:pPr>
            <w:r>
              <w:rPr>
                <w:rFonts w:ascii="仿宋_GB2312" w:hAnsi="仿宋_GB2312" w:cs="仿宋_GB2312" w:eastAsia="仿宋_GB2312"/>
              </w:rPr>
              <w:t>措施内容科学可行、有针对性且内容详细的计4.1-8分；措施内容较为可行、内容简单的计0-4分。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施工组织和项目管理措施</w:t>
            </w:r>
          </w:p>
        </w:tc>
        <w:tc>
          <w:tcPr>
            <w:tcW w:type="dxa" w:w="2492"/>
          </w:tcPr>
          <w:p>
            <w:pPr>
              <w:pStyle w:val="null3"/>
            </w:pPr>
            <w:r>
              <w:rPr>
                <w:rFonts w:ascii="仿宋_GB2312" w:hAnsi="仿宋_GB2312" w:cs="仿宋_GB2312" w:eastAsia="仿宋_GB2312"/>
              </w:rPr>
              <w:t>措施内容科学可行、有针对性且内容详细的计4.1-8分；措施内容较为可行、针对性不强、内容简单的计0-4分。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供应商需补充的其他内容.docx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应急服务方案</w:t>
            </w:r>
          </w:p>
        </w:tc>
        <w:tc>
          <w:tcPr>
            <w:tcW w:type="dxa" w:w="2492"/>
          </w:tcPr>
          <w:p>
            <w:pPr>
              <w:pStyle w:val="null3"/>
            </w:pPr>
            <w:r>
              <w:rPr>
                <w:rFonts w:ascii="仿宋_GB2312" w:hAnsi="仿宋_GB2312" w:cs="仿宋_GB2312" w:eastAsia="仿宋_GB2312"/>
              </w:rPr>
              <w:t>内容全面、科学合理、具有可行性的计4.1-8分；基本满足项目需求的计0-4分。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供应商需补充的其他内容.docx</w:t>
            </w:r>
          </w:p>
        </w:tc>
      </w:tr>
      <w:tr>
        <w:tc>
          <w:tcPr>
            <w:tcW w:type="dxa" w:w="831"/>
            <w:vMerge/>
          </w:tcPr>
          <w:p/>
        </w:tc>
        <w:tc>
          <w:tcPr>
            <w:tcW w:type="dxa" w:w="1661"/>
          </w:tcPr>
          <w:p>
            <w:pPr>
              <w:pStyle w:val="null3"/>
            </w:pPr>
            <w:r>
              <w:rPr>
                <w:rFonts w:ascii="仿宋_GB2312" w:hAnsi="仿宋_GB2312" w:cs="仿宋_GB2312" w:eastAsia="仿宋_GB2312"/>
              </w:rPr>
              <w:t>劳动力安排计划情况</w:t>
            </w:r>
          </w:p>
        </w:tc>
        <w:tc>
          <w:tcPr>
            <w:tcW w:type="dxa" w:w="2492"/>
          </w:tcPr>
          <w:p>
            <w:pPr>
              <w:pStyle w:val="null3"/>
            </w:pPr>
            <w:r>
              <w:rPr>
                <w:rFonts w:ascii="仿宋_GB2312" w:hAnsi="仿宋_GB2312" w:cs="仿宋_GB2312" w:eastAsia="仿宋_GB2312"/>
              </w:rPr>
              <w:t>结构清晰、安排科学合理的计4.1-8分；进度安排基本满足项目需求的计0-4。</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供应商需补充的其他内容.docx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提供2022年7月至今类似业绩，提供一份得2分，最高得10分。 注：提供合同复印件加盖公章。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业绩的相关证明材料.docx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 磋商报价得分=（磋商基准价/最后磋商报价）×价格权值×100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报价明细表.docx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详见附件：供应商需补充的其他内容.docx</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详见附件：业绩的相关证明材料.docx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