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F1E2F">
      <w:pPr>
        <w:tabs>
          <w:tab w:val="left" w:pos="1755"/>
        </w:tabs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其他事项</w:t>
      </w:r>
    </w:p>
    <w:p w14:paraId="2BE2CB60">
      <w:pPr>
        <w:spacing w:line="360" w:lineRule="auto"/>
        <w:ind w:left="479" w:leftChars="228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1、依据招标文件要求，投标人认为有必要说明的其他内容。</w:t>
      </w:r>
    </w:p>
    <w:p w14:paraId="3CE13DE8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4"/>
          <w:highlight w:val="none"/>
        </w:rPr>
        <w:t>、其他可以证明投标人实力的文件。</w:t>
      </w:r>
    </w:p>
    <w:p w14:paraId="3BD7CD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90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2025-06-06T10:13:18Z</dcterms:created>
  <dc:creator>ADMIN</dc:creator>
  <cp:lastModifiedBy>Queen €</cp:lastModifiedBy>
  <dcterms:modified xsi:type="dcterms:W3CDTF">2025-06-06T10:13:39Z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137804A0E1C948B7BE24FAA667A018D3_12</vt:lpwstr>
  </property>
</Properties>
</file>