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FCDF8">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供货合同</w:t>
      </w:r>
    </w:p>
    <w:p w14:paraId="5BBBB81A">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5A345342">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7D81C12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outlineLvl w:val="9"/>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根据《中华人民共和国民法典》、《中华人民共和国政府采购法》与项目行业有关的法律法规，以及本项目</w:t>
      </w:r>
      <w:r>
        <w:rPr>
          <w:rFonts w:hint="eastAsia" w:ascii="仿宋" w:hAnsi="仿宋" w:eastAsia="仿宋" w:cs="仿宋"/>
          <w:b w:val="0"/>
          <w:color w:val="auto"/>
          <w:kern w:val="0"/>
          <w:sz w:val="24"/>
          <w:szCs w:val="24"/>
          <w:highlight w:val="none"/>
          <w:u w:val="single"/>
          <w:lang w:val="en-US" w:eastAsia="zh-CN" w:bidi="ar-SA"/>
        </w:rPr>
        <w:t xml:space="preserve"> 雁塔区第十幼儿园厨房设施设备采购项目（项目编号：HXGJXM2025-ZC-JT1005</w:t>
      </w:r>
      <w:r>
        <w:rPr>
          <w:rFonts w:hint="eastAsia" w:ascii="仿宋" w:hAnsi="仿宋" w:eastAsia="仿宋" w:cs="仿宋"/>
          <w:b w:val="0"/>
          <w:color w:val="auto"/>
          <w:kern w:val="0"/>
          <w:sz w:val="24"/>
          <w:szCs w:val="24"/>
          <w:highlight w:val="none"/>
          <w:lang w:val="en-US" w:eastAsia="zh-CN" w:bidi="ar-SA"/>
        </w:rPr>
        <w:t>）相关采购要求的规定，合同双方就乙方向采购方提供</w:t>
      </w:r>
      <w:r>
        <w:rPr>
          <w:rFonts w:hint="eastAsia" w:ascii="仿宋" w:hAnsi="仿宋" w:eastAsia="仿宋" w:cs="仿宋"/>
          <w:b w:val="0"/>
          <w:color w:val="auto"/>
          <w:kern w:val="0"/>
          <w:sz w:val="24"/>
          <w:szCs w:val="24"/>
          <w:highlight w:val="none"/>
          <w:u w:val="single"/>
          <w:lang w:val="en-US" w:eastAsia="zh-CN" w:bidi="ar-SA"/>
        </w:rPr>
        <w:t xml:space="preserve"> 雁塔区第十幼儿园厨房设施设备采购项目 </w:t>
      </w:r>
      <w:r>
        <w:rPr>
          <w:rFonts w:hint="eastAsia" w:ascii="仿宋" w:hAnsi="仿宋" w:eastAsia="仿宋" w:cs="仿宋"/>
          <w:b w:val="0"/>
          <w:color w:val="auto"/>
          <w:kern w:val="0"/>
          <w:sz w:val="24"/>
          <w:szCs w:val="24"/>
          <w:highlight w:val="none"/>
          <w:lang w:val="en-US" w:eastAsia="zh-CN" w:bidi="ar-SA"/>
        </w:rPr>
        <w:t>事宜，经协商达成一致，确立本合同。</w:t>
      </w:r>
    </w:p>
    <w:p w14:paraId="4AF6F335">
      <w:pPr>
        <w:pStyle w:val="12"/>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bookmarkStart w:id="0" w:name="_Toc23305"/>
      <w:bookmarkStart w:id="1" w:name="_Toc10520"/>
      <w:r>
        <w:rPr>
          <w:rFonts w:hint="eastAsia" w:ascii="仿宋" w:hAnsi="仿宋" w:eastAsia="仿宋" w:cs="仿宋"/>
          <w:b/>
          <w:color w:val="auto"/>
          <w:sz w:val="24"/>
          <w:szCs w:val="24"/>
          <w:highlight w:val="none"/>
        </w:rPr>
        <w:t>第一条：合同标的及付款方式</w:t>
      </w:r>
      <w:bookmarkEnd w:id="0"/>
      <w:bookmarkEnd w:id="1"/>
    </w:p>
    <w:p w14:paraId="5AE5A86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u w:val="single"/>
          <w:lang w:val="en-US" w:eastAsia="zh-CN"/>
        </w:rPr>
      </w:pPr>
      <w:bookmarkStart w:id="2" w:name="_Toc4982"/>
      <w:bookmarkStart w:id="3" w:name="_Toc7695"/>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合同标的及标的物</w:t>
      </w:r>
      <w:bookmarkEnd w:id="2"/>
      <w:bookmarkEnd w:id="3"/>
      <w:r>
        <w:rPr>
          <w:rFonts w:hint="eastAsia" w:ascii="仿宋" w:hAnsi="仿宋" w:eastAsia="仿宋" w:cs="仿宋"/>
          <w:color w:val="auto"/>
          <w:sz w:val="24"/>
          <w:szCs w:val="24"/>
          <w:highlight w:val="none"/>
          <w:lang w:eastAsia="zh-CN"/>
        </w:rPr>
        <w:t>：</w:t>
      </w:r>
      <w:r>
        <w:rPr>
          <w:rFonts w:hint="eastAsia" w:ascii="仿宋" w:hAnsi="仿宋" w:eastAsia="仿宋" w:cs="仿宋"/>
          <w:b w:val="0"/>
          <w:color w:val="auto"/>
          <w:kern w:val="0"/>
          <w:sz w:val="24"/>
          <w:szCs w:val="24"/>
          <w:highlight w:val="none"/>
          <w:u w:val="single"/>
          <w:lang w:val="en-US" w:eastAsia="zh-CN" w:bidi="ar-SA"/>
        </w:rPr>
        <w:t>雁塔区第十幼儿园厨房设施设备采购项目</w:t>
      </w:r>
      <w:r>
        <w:rPr>
          <w:rFonts w:hint="eastAsia" w:ascii="仿宋" w:hAnsi="仿宋" w:eastAsia="仿宋" w:cs="仿宋"/>
          <w:color w:val="auto"/>
          <w:sz w:val="24"/>
          <w:szCs w:val="24"/>
          <w:highlight w:val="none"/>
          <w:lang w:eastAsia="zh-CN"/>
        </w:rPr>
        <w:t xml:space="preserve"> </w:t>
      </w:r>
    </w:p>
    <w:p w14:paraId="7E4499E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color w:val="auto"/>
          <w:szCs w:val="24"/>
          <w:highlight w:val="none"/>
        </w:rPr>
      </w:pPr>
      <w:bookmarkStart w:id="4" w:name="_Toc22018"/>
      <w:bookmarkStart w:id="5" w:name="_Toc1881"/>
      <w:r>
        <w:rPr>
          <w:rFonts w:hint="eastAsia" w:ascii="仿宋" w:hAnsi="仿宋" w:eastAsia="仿宋" w:cs="仿宋"/>
          <w:color w:val="auto"/>
          <w:szCs w:val="24"/>
          <w:highlight w:val="none"/>
        </w:rPr>
        <w:t>附分项清单：</w:t>
      </w:r>
    </w:p>
    <w:tbl>
      <w:tblPr>
        <w:tblStyle w:val="8"/>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960"/>
        <w:gridCol w:w="1685"/>
        <w:gridCol w:w="1458"/>
        <w:gridCol w:w="1064"/>
        <w:gridCol w:w="1173"/>
        <w:gridCol w:w="1328"/>
      </w:tblGrid>
      <w:tr w14:paraId="2C6E6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exact"/>
          <w:jc w:val="center"/>
        </w:trPr>
        <w:tc>
          <w:tcPr>
            <w:tcW w:w="1000" w:type="dxa"/>
            <w:noWrap w:val="0"/>
            <w:vAlign w:val="center"/>
          </w:tcPr>
          <w:p w14:paraId="06C1275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960" w:type="dxa"/>
            <w:noWrap w:val="0"/>
            <w:vAlign w:val="center"/>
          </w:tcPr>
          <w:p w14:paraId="106CEC4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名称</w:t>
            </w:r>
          </w:p>
        </w:tc>
        <w:tc>
          <w:tcPr>
            <w:tcW w:w="1685" w:type="dxa"/>
            <w:noWrap w:val="0"/>
            <w:vAlign w:val="center"/>
          </w:tcPr>
          <w:p w14:paraId="1C748F0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rPr>
              <w:t>品牌</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制造商</w:t>
            </w:r>
          </w:p>
        </w:tc>
        <w:tc>
          <w:tcPr>
            <w:tcW w:w="1458" w:type="dxa"/>
            <w:noWrap w:val="0"/>
            <w:vAlign w:val="center"/>
          </w:tcPr>
          <w:p w14:paraId="1D135AE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规格型号</w:t>
            </w:r>
          </w:p>
        </w:tc>
        <w:tc>
          <w:tcPr>
            <w:tcW w:w="1064" w:type="dxa"/>
            <w:noWrap w:val="0"/>
            <w:vAlign w:val="center"/>
          </w:tcPr>
          <w:p w14:paraId="595F1C6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数量</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个</w:t>
            </w:r>
            <w:r>
              <w:rPr>
                <w:rFonts w:hint="eastAsia" w:ascii="仿宋" w:hAnsi="仿宋" w:eastAsia="仿宋" w:cs="仿宋"/>
                <w:color w:val="auto"/>
                <w:szCs w:val="24"/>
                <w:highlight w:val="none"/>
                <w:lang w:eastAsia="zh-CN"/>
              </w:rPr>
              <w:t>）</w:t>
            </w:r>
          </w:p>
        </w:tc>
        <w:tc>
          <w:tcPr>
            <w:tcW w:w="1173" w:type="dxa"/>
            <w:noWrap w:val="0"/>
            <w:vAlign w:val="center"/>
          </w:tcPr>
          <w:p w14:paraId="6F0CEFF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单价</w:t>
            </w:r>
          </w:p>
          <w:p w14:paraId="0844601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（元）</w:t>
            </w:r>
          </w:p>
        </w:tc>
        <w:tc>
          <w:tcPr>
            <w:tcW w:w="1328" w:type="dxa"/>
            <w:noWrap w:val="0"/>
            <w:vAlign w:val="center"/>
          </w:tcPr>
          <w:p w14:paraId="0B10D1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合计</w:t>
            </w:r>
          </w:p>
          <w:p w14:paraId="080831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（元）</w:t>
            </w:r>
          </w:p>
        </w:tc>
      </w:tr>
      <w:tr w14:paraId="2E529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073F7D3D">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960" w:type="dxa"/>
            <w:noWrap w:val="0"/>
            <w:vAlign w:val="center"/>
          </w:tcPr>
          <w:p w14:paraId="781C52D6">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685" w:type="dxa"/>
            <w:noWrap w:val="0"/>
            <w:vAlign w:val="center"/>
          </w:tcPr>
          <w:p w14:paraId="74D18D12">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458" w:type="dxa"/>
            <w:noWrap w:val="0"/>
            <w:vAlign w:val="center"/>
          </w:tcPr>
          <w:p w14:paraId="38129C16">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064" w:type="dxa"/>
            <w:noWrap w:val="0"/>
            <w:vAlign w:val="center"/>
          </w:tcPr>
          <w:p w14:paraId="6247A5DE">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173" w:type="dxa"/>
            <w:noWrap w:val="0"/>
            <w:vAlign w:val="center"/>
          </w:tcPr>
          <w:p w14:paraId="71D74C0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328" w:type="dxa"/>
            <w:noWrap w:val="0"/>
            <w:vAlign w:val="center"/>
          </w:tcPr>
          <w:p w14:paraId="08BCC2B5">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r>
      <w:tr w14:paraId="5021A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0A5D8F2D">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960" w:type="dxa"/>
            <w:noWrap w:val="0"/>
            <w:vAlign w:val="center"/>
          </w:tcPr>
          <w:p w14:paraId="652AEF8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685" w:type="dxa"/>
            <w:noWrap w:val="0"/>
            <w:vAlign w:val="center"/>
          </w:tcPr>
          <w:p w14:paraId="6477DD1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458" w:type="dxa"/>
            <w:noWrap w:val="0"/>
            <w:vAlign w:val="center"/>
          </w:tcPr>
          <w:p w14:paraId="7C1C2D84">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064" w:type="dxa"/>
            <w:noWrap w:val="0"/>
            <w:vAlign w:val="center"/>
          </w:tcPr>
          <w:p w14:paraId="09A83299">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173" w:type="dxa"/>
            <w:noWrap w:val="0"/>
            <w:vAlign w:val="center"/>
          </w:tcPr>
          <w:p w14:paraId="792540A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328" w:type="dxa"/>
            <w:noWrap w:val="0"/>
            <w:vAlign w:val="center"/>
          </w:tcPr>
          <w:p w14:paraId="5041992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r>
    </w:tbl>
    <w:p w14:paraId="65B7798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bookmarkEnd w:id="4"/>
      <w:bookmarkEnd w:id="5"/>
      <w:r>
        <w:rPr>
          <w:rFonts w:hint="eastAsia" w:ascii="仿宋" w:hAnsi="仿宋" w:eastAsia="仿宋" w:cs="仿宋"/>
          <w:color w:val="auto"/>
          <w:sz w:val="24"/>
          <w:szCs w:val="24"/>
          <w:highlight w:val="none"/>
          <w:lang w:val="en-US" w:eastAsia="zh-CN"/>
        </w:rPr>
        <w:t>合同价款</w:t>
      </w:r>
    </w:p>
    <w:p w14:paraId="32DF3DB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①合同总价款为人民币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137F773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②合同总价包括：设备（产品）费、安装调试费、运杂费（含保险）、仓储保管费、技术培训费、质保期维护、招标代理服务费、税金等其他一切相关费用。</w:t>
      </w:r>
    </w:p>
    <w:p w14:paraId="0EAE429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③合同总价一次性包死，不受市场价格变化因素的影响。</w:t>
      </w:r>
    </w:p>
    <w:p w14:paraId="239DECFB">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highlight w:val="none"/>
        </w:rPr>
        <w:t>款项结算</w:t>
      </w:r>
    </w:p>
    <w:p w14:paraId="1C8AB60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合同款的支付：以甲乙双方最终签订的合同为准。</w:t>
      </w:r>
    </w:p>
    <w:p w14:paraId="717693E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）结算方式：银行转账。</w:t>
      </w:r>
    </w:p>
    <w:p w14:paraId="5233129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）支付方式：</w:t>
      </w:r>
      <w:r>
        <w:rPr>
          <w:rFonts w:hint="eastAsia" w:ascii="仿宋" w:hAnsi="仿宋" w:eastAsia="仿宋" w:cs="仿宋"/>
          <w:color w:val="auto"/>
          <w:sz w:val="24"/>
          <w:szCs w:val="24"/>
          <w:highlight w:val="none"/>
          <w:lang w:val="zh-CN"/>
        </w:rPr>
        <w:t>由</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zh-CN"/>
        </w:rPr>
        <w:t>负责结算，合同签订后，乙方在接受每次付款前，开具等额发票给甲方。</w:t>
      </w:r>
    </w:p>
    <w:p w14:paraId="275DE0F6">
      <w:pPr>
        <w:keepNext w:val="0"/>
        <w:keepLines w:val="0"/>
        <w:pageBreakBefore w:val="0"/>
        <w:tabs>
          <w:tab w:val="left" w:pos="6276"/>
        </w:tabs>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b/>
          <w:color w:val="auto"/>
          <w:sz w:val="24"/>
          <w:szCs w:val="24"/>
          <w:highlight w:val="none"/>
        </w:rPr>
      </w:pPr>
      <w:bookmarkStart w:id="6" w:name="_Toc30795"/>
      <w:bookmarkStart w:id="7" w:name="_Toc1825"/>
      <w:r>
        <w:rPr>
          <w:rFonts w:hint="eastAsia" w:ascii="仿宋" w:hAnsi="仿宋" w:eastAsia="仿宋" w:cs="仿宋"/>
          <w:b w:val="0"/>
          <w:bCs/>
          <w:color w:val="auto"/>
          <w:sz w:val="24"/>
          <w:szCs w:val="24"/>
          <w:highlight w:val="none"/>
        </w:rPr>
        <w:t>全部货物到达采购人指定地点并安装验收合格后，达到付款条件起30日内，支付合同总金额的100.00%。</w:t>
      </w:r>
    </w:p>
    <w:p w14:paraId="4E97EBF4">
      <w:pPr>
        <w:keepNext w:val="0"/>
        <w:keepLines w:val="0"/>
        <w:pageBreakBefore w:val="0"/>
        <w:tabs>
          <w:tab w:val="left" w:pos="6276"/>
        </w:tabs>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第二条：项目</w:t>
      </w:r>
      <w:r>
        <w:rPr>
          <w:rFonts w:hint="eastAsia" w:ascii="仿宋" w:hAnsi="仿宋" w:eastAsia="仿宋" w:cs="仿宋"/>
          <w:b/>
          <w:color w:val="auto"/>
          <w:sz w:val="24"/>
          <w:szCs w:val="24"/>
          <w:highlight w:val="none"/>
          <w:lang w:val="en-US" w:eastAsia="zh-CN"/>
        </w:rPr>
        <w:t>服务地点、交货期及</w:t>
      </w:r>
      <w:r>
        <w:rPr>
          <w:rFonts w:hint="eastAsia" w:ascii="仿宋" w:hAnsi="仿宋" w:eastAsia="仿宋" w:cs="仿宋"/>
          <w:b/>
          <w:color w:val="auto"/>
          <w:sz w:val="24"/>
          <w:szCs w:val="24"/>
          <w:highlight w:val="none"/>
          <w:lang w:eastAsia="zh-CN"/>
        </w:rPr>
        <w:t>质保</w:t>
      </w:r>
      <w:r>
        <w:rPr>
          <w:rFonts w:hint="eastAsia" w:ascii="仿宋" w:hAnsi="仿宋" w:eastAsia="仿宋" w:cs="仿宋"/>
          <w:b/>
          <w:color w:val="auto"/>
          <w:sz w:val="24"/>
          <w:szCs w:val="24"/>
          <w:highlight w:val="none"/>
        </w:rPr>
        <w:t>期</w:t>
      </w:r>
      <w:bookmarkEnd w:id="6"/>
      <w:bookmarkEnd w:id="7"/>
    </w:p>
    <w:p w14:paraId="1DE638C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交货</w:t>
      </w:r>
      <w:r>
        <w:rPr>
          <w:rFonts w:hint="eastAsia" w:ascii="仿宋" w:hAnsi="仿宋" w:eastAsia="仿宋" w:cs="仿宋"/>
          <w:color w:val="auto"/>
          <w:sz w:val="24"/>
          <w:szCs w:val="24"/>
          <w:highlight w:val="none"/>
        </w:rPr>
        <w:t>地点：甲方指定地点</w:t>
      </w:r>
    </w:p>
    <w:p w14:paraId="69931010">
      <w:pPr>
        <w:pStyle w:val="5"/>
        <w:keepNext w:val="0"/>
        <w:keepLines w:val="0"/>
        <w:pageBreakBefore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交货期：自合同签订之日起30个日历日完成全部项目内容，并交付采购人验收合格。</w:t>
      </w:r>
    </w:p>
    <w:p w14:paraId="4A8A238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质保期：</w:t>
      </w:r>
      <w:bookmarkStart w:id="8" w:name="_Toc12534"/>
      <w:bookmarkStart w:id="9" w:name="_Toc5462"/>
      <w:r>
        <w:rPr>
          <w:rFonts w:hint="eastAsia" w:ascii="仿宋" w:hAnsi="仿宋" w:eastAsia="仿宋" w:cs="仿宋"/>
          <w:color w:val="auto"/>
          <w:kern w:val="2"/>
          <w:sz w:val="24"/>
          <w:szCs w:val="24"/>
          <w:highlight w:val="none"/>
          <w:lang w:val="en-US" w:eastAsia="zh-CN" w:bidi="ar-SA"/>
        </w:rPr>
        <w:t>验收合格后1年</w:t>
      </w:r>
      <w:r>
        <w:rPr>
          <w:rFonts w:hint="eastAsia" w:ascii="仿宋" w:hAnsi="仿宋" w:eastAsia="仿宋" w:cs="仿宋"/>
          <w:color w:val="000000"/>
          <w:sz w:val="24"/>
          <w:szCs w:val="24"/>
          <w:highlight w:val="none"/>
          <w:lang w:val="en-US" w:eastAsia="zh-CN"/>
        </w:rPr>
        <w:t>。</w:t>
      </w:r>
    </w:p>
    <w:p w14:paraId="41AF26E7">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w:t>
      </w:r>
      <w:r>
        <w:rPr>
          <w:rFonts w:hint="eastAsia" w:ascii="仿宋" w:hAnsi="仿宋" w:eastAsia="仿宋" w:cs="仿宋"/>
          <w:b/>
          <w:color w:val="auto"/>
          <w:sz w:val="24"/>
          <w:szCs w:val="24"/>
          <w:highlight w:val="none"/>
          <w:lang w:val="en-US" w:eastAsia="zh-CN"/>
        </w:rPr>
        <w:t>交货</w:t>
      </w:r>
      <w:r>
        <w:rPr>
          <w:rFonts w:hint="eastAsia" w:ascii="仿宋" w:hAnsi="仿宋" w:eastAsia="仿宋" w:cs="仿宋"/>
          <w:b/>
          <w:color w:val="auto"/>
          <w:sz w:val="24"/>
          <w:szCs w:val="24"/>
          <w:highlight w:val="none"/>
        </w:rPr>
        <w:t>内容及标准</w:t>
      </w:r>
      <w:bookmarkEnd w:id="8"/>
      <w:bookmarkEnd w:id="9"/>
    </w:p>
    <w:p w14:paraId="39A9419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具体内容以</w:t>
      </w:r>
      <w:r>
        <w:rPr>
          <w:rFonts w:hint="eastAsia" w:ascii="仿宋" w:hAnsi="仿宋" w:eastAsia="仿宋" w:cs="仿宋"/>
          <w:color w:val="auto"/>
          <w:sz w:val="24"/>
          <w:szCs w:val="24"/>
          <w:highlight w:val="none"/>
          <w:lang w:val="en-US" w:eastAsia="zh-CN"/>
        </w:rPr>
        <w:t>竞争性磋商</w:t>
      </w:r>
      <w:r>
        <w:rPr>
          <w:rFonts w:hint="eastAsia" w:ascii="仿宋" w:hAnsi="仿宋" w:eastAsia="仿宋" w:cs="仿宋"/>
          <w:color w:val="auto"/>
          <w:sz w:val="24"/>
          <w:szCs w:val="24"/>
          <w:highlight w:val="none"/>
        </w:rPr>
        <w:t>文件“第</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章谈判项目技术、服务、商务及其他要求”以及</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lang w:val="en-US" w:eastAsia="zh-CN"/>
        </w:rPr>
        <w:t>谈判响应</w:t>
      </w:r>
      <w:r>
        <w:rPr>
          <w:rFonts w:hint="eastAsia" w:ascii="仿宋" w:hAnsi="仿宋" w:eastAsia="仿宋" w:cs="仿宋"/>
          <w:color w:val="auto"/>
          <w:sz w:val="24"/>
          <w:szCs w:val="24"/>
          <w:highlight w:val="none"/>
        </w:rPr>
        <w:t>文件”为准。</w:t>
      </w:r>
    </w:p>
    <w:p w14:paraId="1F0D83B7">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lang w:eastAsia="zh-CN"/>
        </w:rPr>
      </w:pPr>
      <w:bookmarkStart w:id="10" w:name="_Toc2397"/>
      <w:bookmarkStart w:id="11" w:name="_Toc10021"/>
      <w:r>
        <w:rPr>
          <w:rFonts w:hint="eastAsia" w:ascii="仿宋" w:hAnsi="仿宋" w:eastAsia="仿宋" w:cs="仿宋"/>
          <w:b/>
          <w:color w:val="auto"/>
          <w:sz w:val="24"/>
          <w:szCs w:val="24"/>
          <w:highlight w:val="none"/>
        </w:rPr>
        <w:t>第四条：合同</w:t>
      </w:r>
      <w:r>
        <w:rPr>
          <w:rFonts w:hint="eastAsia" w:ascii="仿宋" w:hAnsi="仿宋" w:eastAsia="仿宋" w:cs="仿宋"/>
          <w:b/>
          <w:color w:val="auto"/>
          <w:sz w:val="24"/>
          <w:szCs w:val="24"/>
          <w:highlight w:val="none"/>
          <w:lang w:eastAsia="zh-CN"/>
        </w:rPr>
        <w:t>生效</w:t>
      </w:r>
      <w:bookmarkEnd w:id="10"/>
      <w:bookmarkEnd w:id="11"/>
    </w:p>
    <w:p w14:paraId="4DDF637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本合同自双方代表签字、盖章之日起生效。</w:t>
      </w:r>
    </w:p>
    <w:p w14:paraId="2FF0508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本合同到期后，如仍然存在甲乙双方未履行完毕的各项义务，则该义务继续履行；未行使完毕的各项权利，由权利方继续行使。</w:t>
      </w:r>
    </w:p>
    <w:p w14:paraId="6DB60CDB">
      <w:pPr>
        <w:keepNext w:val="0"/>
        <w:keepLines w:val="0"/>
        <w:pageBreakBefore w:val="0"/>
        <w:widowControl/>
        <w:kinsoku/>
        <w:wordWrap/>
        <w:overflowPunct/>
        <w:topLinePunct w:val="0"/>
        <w:autoSpaceDE/>
        <w:autoSpaceDN/>
        <w:bidi w:val="0"/>
        <w:adjustRightInd/>
        <w:snapToGrid/>
        <w:spacing w:line="360" w:lineRule="auto"/>
        <w:ind w:left="0" w:firstLine="482" w:firstLineChars="200"/>
        <w:jc w:val="left"/>
        <w:textAlignment w:val="auto"/>
        <w:outlineLvl w:val="9"/>
        <w:rPr>
          <w:rFonts w:hint="eastAsia" w:ascii="仿宋" w:hAnsi="仿宋" w:eastAsia="仿宋" w:cs="仿宋"/>
          <w:color w:val="auto"/>
          <w:sz w:val="24"/>
          <w:szCs w:val="24"/>
          <w:highlight w:val="none"/>
        </w:rPr>
      </w:pPr>
      <w:bookmarkStart w:id="12" w:name="_Toc14374"/>
      <w:bookmarkStart w:id="13" w:name="_Toc17760"/>
      <w:r>
        <w:rPr>
          <w:rFonts w:hint="eastAsia" w:ascii="仿宋" w:hAnsi="仿宋" w:eastAsia="仿宋" w:cs="仿宋"/>
          <w:b/>
          <w:color w:val="auto"/>
          <w:sz w:val="24"/>
          <w:szCs w:val="24"/>
          <w:highlight w:val="none"/>
        </w:rPr>
        <w:t>第五条：双方权利及义务</w:t>
      </w:r>
      <w:bookmarkEnd w:id="12"/>
      <w:bookmarkEnd w:id="13"/>
    </w:p>
    <w:p w14:paraId="7617400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5E68AD6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1、甲方保证提供给乙方的资料、信息内容合法，不侵犯第三方的合法权益。如因甲方原因致使乙方遭受第三方追诉的，甲方在其过错范围内承担由此给乙方造成的损失，并承担违约责任。</w:t>
      </w:r>
    </w:p>
    <w:p w14:paraId="567F870C">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2、由于乙方原因不能按合同约定履约，甲方有权扣留剩余款项，作为对甲方损失的赔偿，剩余款项已付或不足以赔偿甲方损失的，由乙方另行支付。</w:t>
      </w:r>
    </w:p>
    <w:p w14:paraId="4D1BBCF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116B8B9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1、乙方保证在履行本合同过程中，不侵犯第三方的合法权益。如因乙方原因致使甲方遭受第三方追诉的，乙方应承担由此给甲方造成的全部损失，并承担违约责任。</w:t>
      </w:r>
    </w:p>
    <w:p w14:paraId="78139218">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2、乙方按照本合同约定，在履行的过程中，不允许利用甲方提供的工作条件和相关资料进行与本项目无关的工作。如因乙方原因致使甲方遭受经济及法律追诉的，由乙方完全承担。</w:t>
      </w:r>
    </w:p>
    <w:p w14:paraId="77C7846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3、乙方必须对供货现场环境卫生、人员安全、生产安全、防火安全负全责。供货现场的各种活动须服从甲方相关部门的管理、监督，同时做好与其它人员的交叉作业及配合工作。</w:t>
      </w:r>
    </w:p>
    <w:p w14:paraId="26ADED8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4、乙方必须加强对供货现场的安全监督、管理，对进入现场的易燃材料应指定专人管理，必要时派人驻守。对当日产生的易燃废料堆放到甲方指定区域，当日应及时清理，消除安全隐患。</w:t>
      </w:r>
    </w:p>
    <w:p w14:paraId="607B6B6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5、乙方供货人员要安全文明供货，不准赤脚或穿高跟鞋、拖鞋进入供货场地；不得穿硬底鞋及带钉易打滑的鞋。</w:t>
      </w:r>
    </w:p>
    <w:p w14:paraId="4510B13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6、乙方供货人员要严防火灾，不准在禁止烟火的地方动用明火；要文明供货，不得在供货现场戏耍和打架斗殴。</w:t>
      </w:r>
    </w:p>
    <w:p w14:paraId="0F1941F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由于乙方在供货过程中组织管理不当违反安全规程、消防安全条例发生安全或火灾事故所造成的安全责任事故、经济损失及人身伤亡，乙方承担全部责任，甲方概不负责。在供货中如发生事故造成甲方经济损失、人身损害，乙方承担全部责任。</w:t>
      </w:r>
    </w:p>
    <w:p w14:paraId="5892D58C">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8、乙方货物需在甲方指定地点有序堆放，垃圾或货物外包装应24小时内清理外运，严禁随意乱堆乱放，影响院内大环境及道路畅通。</w:t>
      </w:r>
    </w:p>
    <w:p w14:paraId="1DD34BB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乙方违反上述任意约定，均视为违约。甲方现场管理人员有权制止其行为并劝其离场，乙方应停止供货并整改（停止供货期间造成的损失由乙方自行承担）。每违反一次扣除合同最高执行总价的3%作为违约金，并承担由此造成的全部损失，累计超过3次的，视为乙方根本违约，甲方有权解除合同，合同自书面解除通知送达乙方之日解除，乙方应按照合同最高执行总价的30%承担违约金，若违约金不足以弥补甲方损失的，由乙方另行支付。</w:t>
      </w:r>
    </w:p>
    <w:p w14:paraId="22E94F77">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第六条：质量保证</w:t>
      </w:r>
    </w:p>
    <w:p w14:paraId="4B2AA28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（一）保证技术指标先进、质量性能可靠、进货渠道正常、功能齐全、配置合理，全面满足甲方要求。</w:t>
      </w:r>
    </w:p>
    <w:p w14:paraId="12E1886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（二）符合国家有关规范要求。</w:t>
      </w:r>
    </w:p>
    <w:p w14:paraId="5F34482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（三）具有良好的外观和使用性能，适合所需科室的使用。</w:t>
      </w:r>
    </w:p>
    <w:p w14:paraId="66E5FD2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乙方需派一名项目经理，直接与甲方沟通，项目经理接收甲方提出的问题与要求，并及时反馈给工作组，解决在项目实施过程中遇到的问题</w:t>
      </w:r>
    </w:p>
    <w:p w14:paraId="4AEC6CB8">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第七条：售后及技术服务</w:t>
      </w:r>
    </w:p>
    <w:p w14:paraId="7494A0BC">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1、项目质保期：合同签订后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年。</w:t>
      </w:r>
    </w:p>
    <w:p w14:paraId="20D09F0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14:paraId="08919715">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第八条：保密规定</w:t>
      </w:r>
    </w:p>
    <w:p w14:paraId="44283EA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70C59767">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第九条：其它事项</w:t>
      </w:r>
    </w:p>
    <w:p w14:paraId="13A1B3F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乙方应按照合同最高执行总价的30%承担违约金。同时按《政府采购法》有关处罚条款报监管机构进行相应的处罚。</w:t>
      </w:r>
    </w:p>
    <w:p w14:paraId="218516DC">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供货期内，每推迟或未提供货物1天，扣合同最高执行总价的3‰作为违约金。累计超过10天的，视为乙方根本违约，甲方有权单方解除合同（合同自书面解除通知送达乙方之日起解除），乙方应赔偿解除合同给甲方造成的全部损失（包括但不限于重新采购产生的费用、合同未履行导致项目不能按规划提供可能产生的其他费用），乙方应按照合同最高执行总价的30%承担违约金，若违约金不足以弥补甲方损失的，由乙方另行支付。</w:t>
      </w:r>
    </w:p>
    <w:p w14:paraId="15E3DEEF">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第十条：违约责任</w:t>
      </w:r>
    </w:p>
    <w:p w14:paraId="3591BA8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w:t>
      </w:r>
    </w:p>
    <w:p w14:paraId="45DEE0F5">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第十一条：合同争议解决的方式</w:t>
      </w:r>
    </w:p>
    <w:p w14:paraId="72218B2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本合同在履行过程中发生的争议，由甲、乙双方当事人协商解决，协商不成的按下列第</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种方式解决：</w:t>
      </w:r>
    </w:p>
    <w:p w14:paraId="1E6153F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提交</w:t>
      </w:r>
      <w:r>
        <w:rPr>
          <w:rFonts w:hint="eastAsia" w:ascii="仿宋" w:hAnsi="仿宋" w:eastAsia="仿宋" w:cs="仿宋"/>
          <w:color w:val="auto"/>
          <w:sz w:val="24"/>
          <w:szCs w:val="24"/>
          <w:highlight w:val="none"/>
          <w:lang w:val="en-US" w:eastAsia="zh-CN"/>
        </w:rPr>
        <w:t>西安市</w:t>
      </w:r>
      <w:r>
        <w:rPr>
          <w:rFonts w:hint="eastAsia" w:ascii="仿宋" w:hAnsi="仿宋" w:eastAsia="仿宋" w:cs="仿宋"/>
          <w:color w:val="auto"/>
          <w:sz w:val="24"/>
          <w:szCs w:val="24"/>
          <w:highlight w:val="none"/>
        </w:rPr>
        <w:t>仲裁委员会仲裁；</w:t>
      </w:r>
    </w:p>
    <w:p w14:paraId="25728038">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依法向甲方所在地人民法院起诉。</w:t>
      </w:r>
    </w:p>
    <w:p w14:paraId="08DC12A9">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第十二条：合同生效</w:t>
      </w:r>
    </w:p>
    <w:p w14:paraId="66B5310C">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本合同须经甲、乙双方的法定代表人（授权代表）在合同书上签字并加盖本单位公章后正式生效。</w:t>
      </w:r>
    </w:p>
    <w:p w14:paraId="57F380F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合同生效后，甲、乙双方须严格执行本合同条款的规定，全面履行合同，违者按《中华人民共和国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》的有关规定承担相应责任。</w:t>
      </w:r>
    </w:p>
    <w:p w14:paraId="4A77FF8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lang w:val="en-US" w:eastAsia="zh-CN"/>
        </w:rPr>
        <w:t xml:space="preserve"> 伍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lang w:val="en-US" w:eastAsia="zh-CN"/>
        </w:rPr>
        <w:t xml:space="preserve"> 贰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，采购代理机构存档</w:t>
      </w:r>
      <w:r>
        <w:rPr>
          <w:rFonts w:hint="eastAsia" w:ascii="仿宋" w:hAnsi="仿宋" w:eastAsia="仿宋" w:cs="仿宋"/>
          <w:color w:val="auto"/>
          <w:sz w:val="24"/>
          <w:szCs w:val="24"/>
          <w:highlight w:val="none"/>
          <w:u w:val="single"/>
          <w:lang w:eastAsia="zh-CN"/>
        </w:rPr>
        <w:t xml:space="preserve"> 壹 </w:t>
      </w:r>
      <w:r>
        <w:rPr>
          <w:rFonts w:hint="eastAsia" w:ascii="仿宋" w:hAnsi="仿宋" w:eastAsia="仿宋" w:cs="仿宋"/>
          <w:color w:val="auto"/>
          <w:sz w:val="24"/>
          <w:szCs w:val="24"/>
          <w:highlight w:val="none"/>
          <w:lang w:eastAsia="zh-CN"/>
        </w:rPr>
        <w:t>份</w:t>
      </w:r>
      <w:r>
        <w:rPr>
          <w:rFonts w:hint="eastAsia" w:ascii="仿宋" w:hAnsi="仿宋" w:eastAsia="仿宋" w:cs="仿宋"/>
          <w:color w:val="auto"/>
          <w:sz w:val="24"/>
          <w:szCs w:val="24"/>
          <w:highlight w:val="none"/>
        </w:rPr>
        <w:t>。</w:t>
      </w:r>
    </w:p>
    <w:p w14:paraId="4A5B1DCB">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本合同如有未尽事宜，甲、乙双方协商解决。</w:t>
      </w:r>
    </w:p>
    <w:p w14:paraId="3E40DDE4">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（本页</w:t>
      </w:r>
      <w:r>
        <w:rPr>
          <w:rFonts w:hint="eastAsia" w:ascii="仿宋" w:hAnsi="仿宋" w:eastAsia="仿宋" w:cs="仿宋"/>
          <w:color w:val="auto"/>
          <w:sz w:val="24"/>
          <w:szCs w:val="24"/>
          <w:highlight w:val="none"/>
          <w:lang w:val="en-US" w:eastAsia="zh-CN"/>
        </w:rPr>
        <w:t>以下</w:t>
      </w:r>
      <w:r>
        <w:rPr>
          <w:rFonts w:hint="eastAsia" w:ascii="仿宋" w:hAnsi="仿宋" w:eastAsia="仿宋" w:cs="仿宋"/>
          <w:color w:val="auto"/>
          <w:sz w:val="24"/>
          <w:szCs w:val="24"/>
          <w:highlight w:val="none"/>
        </w:rPr>
        <w:t>无正文）</w:t>
      </w:r>
    </w:p>
    <w:p w14:paraId="435BA141">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005C8B12">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                           （盖章）</w:t>
      </w:r>
    </w:p>
    <w:p w14:paraId="7EE1C266">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538F236A">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644A933D">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02FBC6AB">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5CD51A47">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41F35EB4">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4F43FD5C">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269F6D75">
      <w:pPr>
        <w:pStyle w:val="13"/>
        <w:rPr>
          <w:rFonts w:hint="default" w:ascii="仿宋" w:hAnsi="仿宋" w:eastAsia="仿宋" w:cs="仿宋"/>
          <w:lang w:val="en-US" w:eastAsia="zh-CN"/>
        </w:rPr>
      </w:pP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lang w:val="en-US" w:eastAsia="zh-CN"/>
        </w:rPr>
        <w:t xml:space="preserve">                 </w:t>
      </w:r>
    </w:p>
    <w:p w14:paraId="1B8FD0CD">
      <w:pPr>
        <w:pStyle w:val="13"/>
        <w:rPr>
          <w:rFonts w:ascii="宋体" w:hAnsi="宋体" w:eastAsia="宋体" w:cs="宋体"/>
        </w:rPr>
      </w:pPr>
      <w:r>
        <w:rPr>
          <w:rFonts w:hint="eastAsia" w:ascii="仿宋" w:hAnsi="仿宋" w:eastAsia="仿宋" w:cs="仿宋"/>
        </w:rPr>
        <w:t xml:space="preserve"> </w:t>
      </w:r>
      <w:r>
        <w:rPr>
          <w:rFonts w:hint="eastAsia" w:ascii="仿宋" w:hAnsi="仿宋" w:eastAsia="仿宋" w:cs="仿宋"/>
        </w:rPr>
        <w:br w:type="textWrapping"/>
      </w:r>
      <w:bookmarkStart w:id="14" w:name="_GoBack"/>
      <w:bookmarkEnd w:id="14"/>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992"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F4FEC">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C0D2D">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D4A9B">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D2177">
    <w:pPr>
      <w:pStyle w:val="4"/>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43295">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90C56">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2A88BD"/>
    <w:multiLevelType w:val="multilevel"/>
    <w:tmpl w:val="3D2A88BD"/>
    <w:lvl w:ilvl="0" w:tentative="0">
      <w:start w:val="1"/>
      <w:numFmt w:val="chineseCounting"/>
      <w:pStyle w:val="2"/>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71E2049A"/>
    <w:rsid w:val="000A7890"/>
    <w:rsid w:val="000D6D1A"/>
    <w:rsid w:val="001518C8"/>
    <w:rsid w:val="00417462"/>
    <w:rsid w:val="00442314"/>
    <w:rsid w:val="007066A9"/>
    <w:rsid w:val="008156D0"/>
    <w:rsid w:val="00A43422"/>
    <w:rsid w:val="00AE67FF"/>
    <w:rsid w:val="00C60D32"/>
    <w:rsid w:val="00D31868"/>
    <w:rsid w:val="00DC73E1"/>
    <w:rsid w:val="00DD7B65"/>
    <w:rsid w:val="00FF311F"/>
    <w:rsid w:val="02164BF4"/>
    <w:rsid w:val="04BD38C2"/>
    <w:rsid w:val="21BA24F8"/>
    <w:rsid w:val="495D13D8"/>
    <w:rsid w:val="509E5922"/>
    <w:rsid w:val="5CE61C63"/>
    <w:rsid w:val="5DF83912"/>
    <w:rsid w:val="71E20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2">
    <w:name w:val="heading 1"/>
    <w:basedOn w:val="1"/>
    <w:next w:val="1"/>
    <w:qFormat/>
    <w:uiPriority w:val="0"/>
    <w:pPr>
      <w:keepNext/>
      <w:keepLines/>
      <w:numPr>
        <w:ilvl w:val="0"/>
        <w:numId w:val="1"/>
      </w:numPr>
      <w:spacing w:before="340" w:after="330" w:line="576" w:lineRule="auto"/>
      <w:ind w:firstLine="0" w:firstLineChars="0"/>
      <w:jc w:val="center"/>
      <w:outlineLvl w:val="0"/>
    </w:pPr>
    <w:rPr>
      <w:b/>
      <w:kern w:val="44"/>
      <w:sz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unhideWhenUsed/>
    <w:qFormat/>
    <w:uiPriority w:val="99"/>
    <w:pPr>
      <w:spacing w:line="300" w:lineRule="auto"/>
      <w:ind w:firstLine="420" w:firstLineChars="200"/>
    </w:pPr>
    <w:rPr>
      <w:rFonts w:ascii="Times New Roman"/>
      <w:kern w:val="2"/>
      <w:sz w:val="21"/>
      <w:szCs w:val="24"/>
    </w:rPr>
  </w:style>
  <w:style w:type="paragraph" w:styleId="4">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Body Text"/>
    <w:basedOn w:val="1"/>
    <w:next w:val="1"/>
    <w:autoRedefine/>
    <w:qFormat/>
    <w:uiPriority w:val="99"/>
    <w:pPr>
      <w:jc w:val="left"/>
    </w:pPr>
    <w:rPr>
      <w:rFonts w:ascii="Copperplate Gothic Bold" w:hAnsi="Copperplate Gothic Bold"/>
      <w:sz w:val="28"/>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Body Text First Indent"/>
    <w:basedOn w:val="5"/>
    <w:unhideWhenUsed/>
    <w:qFormat/>
    <w:uiPriority w:val="99"/>
    <w:pPr>
      <w:spacing w:after="120" w:line="240" w:lineRule="auto"/>
      <w:ind w:firstLine="420" w:firstLineChars="100"/>
    </w:pPr>
    <w:rPr>
      <w:rFonts w:ascii="Times New Roman" w:hAnsi="Times New Roman"/>
      <w:sz w:val="18"/>
      <w:szCs w:val="18"/>
    </w:rPr>
  </w:style>
  <w:style w:type="character" w:customStyle="1" w:styleId="10">
    <w:name w:val="页眉 Char"/>
    <w:basedOn w:val="9"/>
    <w:link w:val="4"/>
    <w:qFormat/>
    <w:uiPriority w:val="0"/>
    <w:rPr>
      <w:rFonts w:eastAsia="楷体"/>
      <w:kern w:val="2"/>
      <w:sz w:val="18"/>
      <w:szCs w:val="18"/>
    </w:rPr>
  </w:style>
  <w:style w:type="character" w:customStyle="1" w:styleId="11">
    <w:name w:val="页脚 Char"/>
    <w:basedOn w:val="9"/>
    <w:link w:val="6"/>
    <w:qFormat/>
    <w:uiPriority w:val="0"/>
    <w:rPr>
      <w:rFonts w:eastAsia="楷体"/>
      <w:kern w:val="2"/>
      <w:sz w:val="18"/>
      <w:szCs w:val="18"/>
    </w:rPr>
  </w:style>
  <w:style w:type="paragraph" w:customStyle="1" w:styleId="12">
    <w:name w:val="List Paragraph1"/>
    <w:basedOn w:val="1"/>
    <w:qFormat/>
    <w:uiPriority w:val="34"/>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5</Pages>
  <Words>2983</Words>
  <Characters>3041</Characters>
  <Lines>49</Lines>
  <Paragraphs>13</Paragraphs>
  <TotalTime>0</TotalTime>
  <ScaleCrop>false</ScaleCrop>
  <LinksUpToDate>false</LinksUpToDate>
  <CharactersWithSpaces>3312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2023-08-01T05:53:00Z</dcterms:created>
  <dc:creator>囔囔</dc:creator>
  <cp:lastModifiedBy>1</cp:lastModifiedBy>
  <dcterms:modified xsi:type="dcterms:W3CDTF">2025-07-09T03:17:23Z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4DEDC21298F941F295D54533EECC6C3B_11</vt:lpwstr>
  </property>
  <property fmtid="{D5CDD505-2E9C-101B-9397-08002B2CF9AE}" pid="4" name="KSOTemplateDocerSaveRecord">
    <vt:lpwstr>eyJoZGlkIjoiNDMyM2M2YjllNjViZDEzZjM3MzcxMGY5NWM3ODdhNjkiLCJ1c2VySWQiOiI0ODU3MDc4MjgifQ==</vt:lpwstr>
  </property>
</Properties>
</file>