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1D94FD">
      <w:pPr>
        <w:pStyle w:val="3"/>
        <w:numPr>
          <w:ilvl w:val="0"/>
          <w:numId w:val="0"/>
        </w:numPr>
        <w:spacing w:line="360" w:lineRule="auto"/>
        <w:jc w:val="center"/>
        <w:rPr>
          <w:rStyle w:val="6"/>
          <w:rFonts w:hint="eastAsia" w:ascii="仿宋" w:hAnsi="仿宋" w:eastAsia="仿宋" w:cs="仿宋"/>
          <w:b/>
          <w:bCs/>
          <w:sz w:val="36"/>
          <w:szCs w:val="36"/>
          <w:lang w:val="zh-CN"/>
        </w:rPr>
      </w:pPr>
      <w:bookmarkStart w:id="0" w:name="_Toc4631"/>
      <w:bookmarkStart w:id="1" w:name="_Toc21809"/>
      <w:bookmarkStart w:id="2" w:name="_Toc17123"/>
      <w:bookmarkStart w:id="3" w:name="_Toc5424"/>
      <w:bookmarkStart w:id="4" w:name="_Toc13801"/>
      <w:bookmarkStart w:id="5" w:name="_Toc29237"/>
      <w:bookmarkStart w:id="6" w:name="_Toc12780"/>
      <w:bookmarkStart w:id="7" w:name="_Toc26451"/>
      <w:r>
        <w:rPr>
          <w:rStyle w:val="6"/>
          <w:rFonts w:hint="eastAsia" w:ascii="仿宋" w:hAnsi="仿宋" w:eastAsia="仿宋" w:cs="仿宋"/>
          <w:b/>
          <w:bCs/>
          <w:sz w:val="36"/>
          <w:szCs w:val="36"/>
          <w:lang w:val="zh-CN"/>
        </w:rPr>
        <w:t>合同条款及格式</w:t>
      </w:r>
      <w:bookmarkEnd w:id="0"/>
      <w:bookmarkEnd w:id="1"/>
      <w:bookmarkEnd w:id="2"/>
      <w:bookmarkEnd w:id="3"/>
      <w:bookmarkEnd w:id="4"/>
      <w:bookmarkEnd w:id="5"/>
      <w:bookmarkEnd w:id="6"/>
      <w:bookmarkEnd w:id="7"/>
    </w:p>
    <w:p w14:paraId="362829B0">
      <w:pPr>
        <w:spacing w:line="360" w:lineRule="auto"/>
        <w:jc w:val="center"/>
        <w:rPr>
          <w:rFonts w:hint="eastAsia" w:ascii="仿宋" w:hAnsi="仿宋" w:eastAsia="仿宋" w:cs="仿宋"/>
          <w:b/>
          <w:bCs/>
          <w:sz w:val="44"/>
          <w:szCs w:val="44"/>
        </w:rPr>
      </w:pPr>
    </w:p>
    <w:p w14:paraId="37C2C61C">
      <w:pPr>
        <w:spacing w:line="360" w:lineRule="auto"/>
        <w:jc w:val="center"/>
        <w:rPr>
          <w:rFonts w:hint="eastAsia" w:ascii="仿宋" w:hAnsi="仿宋" w:eastAsia="仿宋" w:cs="仿宋"/>
          <w:b/>
          <w:bCs/>
          <w:sz w:val="44"/>
          <w:szCs w:val="44"/>
        </w:rPr>
      </w:pPr>
    </w:p>
    <w:p w14:paraId="4AFE9A8C">
      <w:pPr>
        <w:spacing w:line="360" w:lineRule="auto"/>
        <w:jc w:val="center"/>
        <w:rPr>
          <w:rFonts w:hint="eastAsia" w:ascii="仿宋" w:hAnsi="仿宋" w:eastAsia="仿宋" w:cs="仿宋"/>
          <w:b/>
          <w:sz w:val="44"/>
          <w:szCs w:val="44"/>
        </w:rPr>
      </w:pPr>
    </w:p>
    <w:p w14:paraId="20854AA8">
      <w:pPr>
        <w:spacing w:line="360" w:lineRule="auto"/>
        <w:jc w:val="center"/>
        <w:rPr>
          <w:rFonts w:hint="eastAsia" w:ascii="仿宋" w:hAnsi="仿宋" w:eastAsia="仿宋" w:cs="仿宋"/>
          <w:b/>
          <w:bCs/>
          <w:color w:val="000000"/>
          <w:sz w:val="52"/>
          <w:szCs w:val="52"/>
          <w:lang w:eastAsia="zh-CN"/>
        </w:rPr>
      </w:pPr>
      <w:r>
        <w:rPr>
          <w:rFonts w:hint="eastAsia" w:ascii="仿宋" w:hAnsi="仿宋" w:eastAsia="仿宋" w:cs="仿宋"/>
          <w:b/>
          <w:bCs/>
          <w:color w:val="000000"/>
          <w:sz w:val="52"/>
          <w:szCs w:val="52"/>
          <w:lang w:eastAsia="zh-CN"/>
        </w:rPr>
        <w:t>西安市雁塔区委员会办公室办公耗材采购</w:t>
      </w:r>
    </w:p>
    <w:p w14:paraId="6290F2BA">
      <w:pPr>
        <w:spacing w:line="360" w:lineRule="auto"/>
        <w:jc w:val="center"/>
        <w:rPr>
          <w:rFonts w:hint="eastAsia" w:ascii="仿宋" w:hAnsi="仿宋" w:eastAsia="仿宋" w:cs="仿宋"/>
          <w:b/>
          <w:bCs/>
          <w:color w:val="000000"/>
          <w:sz w:val="40"/>
          <w:szCs w:val="40"/>
        </w:rPr>
      </w:pPr>
    </w:p>
    <w:p w14:paraId="30AC365D">
      <w:pPr>
        <w:spacing w:line="360" w:lineRule="auto"/>
        <w:jc w:val="center"/>
        <w:rPr>
          <w:rFonts w:hint="eastAsia" w:ascii="仿宋" w:hAnsi="仿宋" w:eastAsia="仿宋" w:cs="仿宋"/>
          <w:b/>
          <w:bCs/>
          <w:color w:val="000000"/>
          <w:sz w:val="40"/>
          <w:szCs w:val="40"/>
        </w:rPr>
      </w:pPr>
    </w:p>
    <w:p w14:paraId="6A313B9C">
      <w:pPr>
        <w:bidi w:val="0"/>
        <w:rPr>
          <w:rFonts w:hint="eastAsia"/>
        </w:rPr>
      </w:pPr>
    </w:p>
    <w:p w14:paraId="0B4AD9BC">
      <w:pPr>
        <w:spacing w:line="360" w:lineRule="auto"/>
        <w:jc w:val="center"/>
        <w:rPr>
          <w:rFonts w:hint="eastAsia" w:ascii="仿宋" w:hAnsi="仿宋" w:eastAsia="仿宋" w:cs="仿宋"/>
          <w:b/>
          <w:bCs/>
          <w:color w:val="000000"/>
          <w:sz w:val="52"/>
          <w:szCs w:val="52"/>
        </w:rPr>
      </w:pPr>
      <w:r>
        <w:rPr>
          <w:rFonts w:hint="eastAsia" w:ascii="仿宋" w:hAnsi="仿宋" w:eastAsia="仿宋" w:cs="仿宋"/>
          <w:b/>
          <w:bCs/>
          <w:color w:val="000000"/>
          <w:sz w:val="52"/>
          <w:szCs w:val="52"/>
        </w:rPr>
        <w:t>政府采购合同</w:t>
      </w:r>
    </w:p>
    <w:p w14:paraId="5817D3E8">
      <w:pPr>
        <w:pStyle w:val="2"/>
        <w:rPr>
          <w:rFonts w:hint="eastAsia" w:ascii="仿宋" w:hAnsi="仿宋" w:eastAsia="仿宋" w:cs="仿宋"/>
          <w:b/>
          <w:bCs/>
          <w:color w:val="000000"/>
          <w:sz w:val="56"/>
          <w:szCs w:val="56"/>
        </w:rPr>
      </w:pPr>
    </w:p>
    <w:p w14:paraId="55F8E4A5">
      <w:pPr>
        <w:rPr>
          <w:rFonts w:hint="eastAsia" w:ascii="仿宋" w:hAnsi="仿宋" w:eastAsia="仿宋" w:cs="仿宋"/>
        </w:rPr>
      </w:pPr>
    </w:p>
    <w:p w14:paraId="70ACBD10">
      <w:pPr>
        <w:spacing w:line="360" w:lineRule="auto"/>
        <w:jc w:val="center"/>
        <w:rPr>
          <w:rFonts w:hint="eastAsia" w:ascii="仿宋" w:hAnsi="仿宋" w:eastAsia="仿宋" w:cs="仿宋"/>
          <w:b/>
          <w:color w:val="000000"/>
          <w:sz w:val="72"/>
          <w:szCs w:val="72"/>
        </w:rPr>
      </w:pPr>
    </w:p>
    <w:p w14:paraId="4CBC350C">
      <w:pPr>
        <w:spacing w:line="600" w:lineRule="auto"/>
        <w:ind w:firstLine="1928" w:firstLineChars="800"/>
        <w:rPr>
          <w:rFonts w:hint="eastAsia" w:ascii="仿宋" w:hAnsi="仿宋" w:eastAsia="仿宋" w:cs="仿宋"/>
          <w:b/>
          <w:bCs/>
          <w:color w:val="000000"/>
          <w:sz w:val="24"/>
        </w:rPr>
      </w:pPr>
    </w:p>
    <w:p w14:paraId="7890690E">
      <w:pPr>
        <w:spacing w:line="600" w:lineRule="auto"/>
        <w:ind w:firstLine="1928" w:firstLineChars="800"/>
        <w:rPr>
          <w:rFonts w:hint="eastAsia" w:ascii="仿宋" w:hAnsi="仿宋" w:eastAsia="仿宋" w:cs="仿宋"/>
          <w:b/>
          <w:bCs/>
          <w:color w:val="000000"/>
          <w:sz w:val="24"/>
        </w:rPr>
      </w:pPr>
    </w:p>
    <w:p w14:paraId="43F2791E">
      <w:pPr>
        <w:spacing w:line="600" w:lineRule="auto"/>
        <w:ind w:firstLine="1928" w:firstLineChars="800"/>
        <w:rPr>
          <w:rFonts w:hint="eastAsia" w:ascii="仿宋" w:hAnsi="仿宋" w:eastAsia="仿宋" w:cs="仿宋"/>
          <w:b/>
          <w:bCs/>
          <w:color w:val="000000"/>
          <w:sz w:val="24"/>
        </w:rPr>
      </w:pPr>
      <w:r>
        <w:rPr>
          <w:rFonts w:hint="eastAsia" w:ascii="仿宋" w:hAnsi="仿宋" w:eastAsia="仿宋" w:cs="仿宋"/>
          <w:b/>
          <w:bCs/>
          <w:color w:val="000000"/>
          <w:sz w:val="24"/>
        </w:rPr>
        <w:t>采购人（甲方）：</w:t>
      </w:r>
      <w:r>
        <w:rPr>
          <w:rFonts w:hint="eastAsia" w:ascii="仿宋" w:hAnsi="仿宋" w:eastAsia="仿宋" w:cs="仿宋"/>
          <w:b/>
          <w:bCs/>
          <w:color w:val="000000"/>
          <w:sz w:val="24"/>
          <w:u w:val="single"/>
        </w:rPr>
        <w:t xml:space="preserve"> </w:t>
      </w:r>
      <w:r>
        <w:rPr>
          <w:rFonts w:hint="eastAsia" w:ascii="仿宋" w:hAnsi="仿宋" w:eastAsia="仿宋" w:cs="仿宋"/>
          <w:b/>
          <w:bCs/>
          <w:color w:val="000000"/>
          <w:sz w:val="24"/>
          <w:u w:val="single"/>
          <w:lang w:eastAsia="zh-CN"/>
        </w:rPr>
        <w:t>中国共产党西安市雁塔区委员会办公室</w:t>
      </w:r>
      <w:r>
        <w:rPr>
          <w:rFonts w:hint="eastAsia" w:ascii="仿宋" w:hAnsi="仿宋" w:eastAsia="仿宋" w:cs="仿宋"/>
          <w:b/>
          <w:bCs/>
          <w:color w:val="000000"/>
          <w:sz w:val="24"/>
          <w:u w:val="single"/>
        </w:rPr>
        <w:t xml:space="preserve"> </w:t>
      </w:r>
    </w:p>
    <w:p w14:paraId="0B4CC449">
      <w:pPr>
        <w:spacing w:line="600" w:lineRule="auto"/>
        <w:ind w:firstLine="1913" w:firstLineChars="794"/>
        <w:rPr>
          <w:rFonts w:hint="eastAsia" w:ascii="仿宋" w:hAnsi="仿宋" w:eastAsia="仿宋" w:cs="仿宋"/>
          <w:b/>
          <w:bCs/>
          <w:color w:val="000000"/>
          <w:sz w:val="24"/>
          <w:u w:val="single"/>
        </w:rPr>
      </w:pPr>
      <w:r>
        <w:rPr>
          <w:rFonts w:hint="eastAsia" w:ascii="仿宋" w:hAnsi="仿宋" w:eastAsia="仿宋" w:cs="仿宋"/>
          <w:b/>
          <w:bCs/>
          <w:color w:val="000000"/>
          <w:sz w:val="24"/>
        </w:rPr>
        <w:t>供应商（乙方）：</w:t>
      </w:r>
      <w:r>
        <w:rPr>
          <w:rFonts w:hint="eastAsia" w:ascii="仿宋" w:hAnsi="仿宋" w:eastAsia="仿宋" w:cs="仿宋"/>
          <w:b/>
          <w:bCs/>
          <w:color w:val="000000"/>
          <w:sz w:val="24"/>
          <w:u w:val="single"/>
        </w:rPr>
        <w:t xml:space="preserve">                            </w:t>
      </w:r>
    </w:p>
    <w:p w14:paraId="38C299B7">
      <w:pPr>
        <w:spacing w:line="600" w:lineRule="auto"/>
        <w:jc w:val="center"/>
        <w:rPr>
          <w:rFonts w:hint="eastAsia" w:ascii="仿宋" w:hAnsi="仿宋" w:eastAsia="仿宋" w:cs="仿宋"/>
          <w:b/>
          <w:bCs/>
          <w:color w:val="000000"/>
          <w:sz w:val="24"/>
        </w:rPr>
      </w:pPr>
      <w:r>
        <w:rPr>
          <w:rFonts w:hint="eastAsia" w:ascii="仿宋" w:hAnsi="仿宋" w:eastAsia="仿宋" w:cs="仿宋"/>
          <w:b/>
          <w:bCs/>
          <w:color w:val="000000"/>
          <w:sz w:val="24"/>
        </w:rPr>
        <w:t>签订日期：    年    月    日</w:t>
      </w:r>
    </w:p>
    <w:p w14:paraId="1CD9FE96">
      <w:pPr>
        <w:spacing w:line="360" w:lineRule="auto"/>
        <w:rPr>
          <w:rFonts w:hint="eastAsia" w:ascii="仿宋" w:hAnsi="仿宋" w:eastAsia="仿宋" w:cs="仿宋"/>
          <w:sz w:val="32"/>
          <w:szCs w:val="32"/>
        </w:rPr>
      </w:pPr>
    </w:p>
    <w:p w14:paraId="1634FC9B">
      <w:pPr>
        <w:spacing w:before="156" w:beforeLines="50" w:line="360" w:lineRule="auto"/>
        <w:rPr>
          <w:rFonts w:hint="eastAsia" w:ascii="仿宋" w:hAnsi="仿宋" w:eastAsia="仿宋" w:cs="仿宋"/>
          <w:b/>
          <w:sz w:val="24"/>
          <w:szCs w:val="24"/>
          <w:u w:val="single"/>
        </w:rPr>
      </w:pPr>
      <w:r>
        <w:rPr>
          <w:rFonts w:hint="eastAsia" w:ascii="仿宋" w:hAnsi="仿宋" w:eastAsia="仿宋" w:cs="仿宋"/>
          <w:b/>
          <w:sz w:val="24"/>
          <w:szCs w:val="24"/>
        </w:rPr>
        <w:br w:type="page"/>
      </w:r>
      <w:r>
        <w:rPr>
          <w:rFonts w:hint="eastAsia" w:ascii="仿宋" w:hAnsi="仿宋" w:eastAsia="仿宋" w:cs="仿宋"/>
          <w:b/>
          <w:sz w:val="24"/>
          <w:szCs w:val="24"/>
        </w:rPr>
        <w:t>甲方（全称）：</w:t>
      </w:r>
      <w:r>
        <w:rPr>
          <w:rFonts w:hint="eastAsia" w:ascii="仿宋" w:hAnsi="仿宋" w:eastAsia="仿宋" w:cs="仿宋"/>
          <w:b/>
          <w:sz w:val="24"/>
          <w:szCs w:val="24"/>
          <w:u w:val="single"/>
        </w:rPr>
        <w:t xml:space="preserve"> </w:t>
      </w:r>
      <w:r>
        <w:rPr>
          <w:rFonts w:hint="eastAsia" w:ascii="仿宋" w:hAnsi="仿宋" w:eastAsia="仿宋" w:cs="仿宋"/>
          <w:b/>
          <w:sz w:val="24"/>
          <w:szCs w:val="24"/>
          <w:u w:val="single"/>
          <w:lang w:eastAsia="zh-CN"/>
        </w:rPr>
        <w:t>中国共产党西安市雁塔区委员会办公室</w:t>
      </w:r>
      <w:r>
        <w:rPr>
          <w:rFonts w:hint="eastAsia" w:ascii="仿宋" w:hAnsi="仿宋" w:eastAsia="仿宋" w:cs="仿宋"/>
          <w:b/>
          <w:sz w:val="24"/>
          <w:szCs w:val="24"/>
          <w:u w:val="single"/>
        </w:rPr>
        <w:t xml:space="preserve"> </w:t>
      </w:r>
    </w:p>
    <w:p w14:paraId="1941F028">
      <w:pPr>
        <w:adjustRightInd w:val="0"/>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乙方（全称）：</w:t>
      </w:r>
      <w:r>
        <w:rPr>
          <w:rFonts w:hint="eastAsia" w:ascii="仿宋" w:hAnsi="仿宋" w:eastAsia="仿宋" w:cs="仿宋"/>
          <w:b/>
          <w:sz w:val="24"/>
          <w:szCs w:val="24"/>
          <w:u w:val="single"/>
        </w:rPr>
        <w:t xml:space="preserve">                                 </w:t>
      </w:r>
      <w:r>
        <w:rPr>
          <w:rFonts w:hint="eastAsia" w:ascii="仿宋" w:hAnsi="仿宋" w:eastAsia="仿宋" w:cs="仿宋"/>
          <w:sz w:val="24"/>
          <w:szCs w:val="24"/>
          <w:u w:val="single"/>
        </w:rPr>
        <w:t xml:space="preserve">   </w:t>
      </w:r>
    </w:p>
    <w:p w14:paraId="6B93B47E">
      <w:pPr>
        <w:adjustRightInd w:val="0"/>
        <w:snapToGrid w:val="0"/>
        <w:spacing w:line="360" w:lineRule="auto"/>
        <w:ind w:firstLine="48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根据《中华人民共和国民法典》的规定，合同双方就乙方向甲方提供本合同项下产品具体事宜，经协商达成一致，确立本合同，以明确双方的权利、义务，确保合同双方共同执行。</w:t>
      </w:r>
    </w:p>
    <w:p w14:paraId="42768B2B">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1.合同标的</w:t>
      </w:r>
    </w:p>
    <w:p w14:paraId="4EC8C5C3">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1.1最高限价：</w:t>
      </w:r>
      <w:r>
        <w:rPr>
          <w:rFonts w:hint="eastAsia" w:ascii="仿宋" w:hAnsi="仿宋" w:eastAsia="仿宋" w:cs="仿宋"/>
          <w:snapToGrid w:val="0"/>
          <w:spacing w:val="12"/>
          <w:sz w:val="24"/>
          <w:szCs w:val="24"/>
          <w:u w:val="single"/>
        </w:rPr>
        <w:t xml:space="preserve">        元</w:t>
      </w:r>
      <w:r>
        <w:rPr>
          <w:rFonts w:hint="eastAsia" w:ascii="仿宋" w:hAnsi="仿宋" w:eastAsia="仿宋" w:cs="仿宋"/>
          <w:snapToGrid w:val="0"/>
          <w:spacing w:val="12"/>
          <w:sz w:val="24"/>
          <w:szCs w:val="24"/>
        </w:rPr>
        <w:t>（服务期内最终结算不得超出最高限价）。</w:t>
      </w:r>
    </w:p>
    <w:p w14:paraId="066DFB6B">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1.2货物（产品）单价：见下表</w:t>
      </w:r>
    </w:p>
    <w:tbl>
      <w:tblPr>
        <w:tblStyle w:val="4"/>
        <w:tblW w:w="8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689"/>
        <w:gridCol w:w="1417"/>
        <w:gridCol w:w="1701"/>
        <w:gridCol w:w="1370"/>
        <w:gridCol w:w="1418"/>
      </w:tblGrid>
      <w:tr w14:paraId="77E92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2DAB34A2">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18282005">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产品名称</w:t>
            </w:r>
          </w:p>
        </w:tc>
        <w:tc>
          <w:tcPr>
            <w:tcW w:w="1417" w:type="dxa"/>
            <w:tcBorders>
              <w:top w:val="single" w:color="auto" w:sz="4" w:space="0"/>
              <w:left w:val="single" w:color="auto" w:sz="4" w:space="0"/>
              <w:bottom w:val="single" w:color="auto" w:sz="4" w:space="0"/>
              <w:right w:val="single" w:color="auto" w:sz="4" w:space="0"/>
            </w:tcBorders>
            <w:noWrap w:val="0"/>
            <w:vAlign w:val="center"/>
          </w:tcPr>
          <w:p w14:paraId="322CC408">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品牌</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DB63C0">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规格型号</w:t>
            </w:r>
          </w:p>
        </w:tc>
        <w:tc>
          <w:tcPr>
            <w:tcW w:w="1370" w:type="dxa"/>
            <w:tcBorders>
              <w:top w:val="single" w:color="auto" w:sz="4" w:space="0"/>
              <w:left w:val="single" w:color="auto" w:sz="4" w:space="0"/>
              <w:bottom w:val="single" w:color="auto" w:sz="4" w:space="0"/>
              <w:right w:val="single" w:color="auto" w:sz="4" w:space="0"/>
            </w:tcBorders>
            <w:noWrap w:val="0"/>
            <w:vAlign w:val="center"/>
          </w:tcPr>
          <w:p w14:paraId="06146981">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单位</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6D6875FD">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单价</w:t>
            </w:r>
          </w:p>
        </w:tc>
      </w:tr>
      <w:tr w14:paraId="7EE33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7004A0B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5A7FFC97">
            <w:pPr>
              <w:spacing w:line="360" w:lineRule="auto"/>
              <w:jc w:val="center"/>
              <w:rPr>
                <w:rFonts w:hint="eastAsia" w:ascii="仿宋" w:hAnsi="仿宋" w:eastAsia="仿宋" w:cs="仿宋"/>
                <w:sz w:val="24"/>
                <w:szCs w:val="24"/>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7F8D78D8">
            <w:pPr>
              <w:spacing w:line="360" w:lineRule="auto"/>
              <w:jc w:val="center"/>
              <w:rPr>
                <w:rFonts w:hint="eastAsia" w:ascii="仿宋" w:hAnsi="仿宋" w:eastAsia="仿宋" w:cs="仿宋"/>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5FC4A22">
            <w:pPr>
              <w:spacing w:line="360" w:lineRule="auto"/>
              <w:jc w:val="center"/>
              <w:rPr>
                <w:rFonts w:hint="eastAsia" w:ascii="仿宋" w:hAnsi="仿宋" w:eastAsia="仿宋" w:cs="仿宋"/>
                <w:sz w:val="24"/>
                <w:szCs w:val="24"/>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1AD94056">
            <w:pPr>
              <w:widowControl/>
              <w:spacing w:line="360" w:lineRule="auto"/>
              <w:jc w:val="center"/>
              <w:rPr>
                <w:rFonts w:hint="eastAsia" w:ascii="仿宋" w:hAnsi="仿宋" w:eastAsia="仿宋" w:cs="仿宋"/>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9DDE8BC">
            <w:pPr>
              <w:spacing w:line="360" w:lineRule="auto"/>
              <w:rPr>
                <w:rFonts w:hint="eastAsia" w:ascii="仿宋" w:hAnsi="仿宋" w:eastAsia="仿宋" w:cs="仿宋"/>
                <w:sz w:val="24"/>
                <w:szCs w:val="24"/>
              </w:rPr>
            </w:pPr>
          </w:p>
        </w:tc>
      </w:tr>
      <w:tr w14:paraId="5F240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507034C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4B94CBB7">
            <w:pPr>
              <w:spacing w:line="360" w:lineRule="auto"/>
              <w:jc w:val="center"/>
              <w:rPr>
                <w:rFonts w:hint="eastAsia" w:ascii="仿宋" w:hAnsi="仿宋" w:eastAsia="仿宋" w:cs="仿宋"/>
                <w:sz w:val="24"/>
                <w:szCs w:val="24"/>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7F55D9C4">
            <w:pPr>
              <w:spacing w:line="360" w:lineRule="auto"/>
              <w:jc w:val="center"/>
              <w:rPr>
                <w:rFonts w:hint="eastAsia" w:ascii="仿宋" w:hAnsi="仿宋" w:eastAsia="仿宋" w:cs="仿宋"/>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A3D526B">
            <w:pPr>
              <w:spacing w:line="360" w:lineRule="auto"/>
              <w:jc w:val="center"/>
              <w:rPr>
                <w:rFonts w:hint="eastAsia" w:ascii="仿宋" w:hAnsi="仿宋" w:eastAsia="仿宋" w:cs="仿宋"/>
                <w:sz w:val="24"/>
                <w:szCs w:val="24"/>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63C28420">
            <w:pPr>
              <w:widowControl/>
              <w:spacing w:line="360" w:lineRule="auto"/>
              <w:jc w:val="center"/>
              <w:rPr>
                <w:rFonts w:hint="eastAsia" w:ascii="仿宋" w:hAnsi="仿宋" w:eastAsia="仿宋" w:cs="仿宋"/>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96782F7">
            <w:pPr>
              <w:spacing w:line="360" w:lineRule="auto"/>
              <w:rPr>
                <w:rFonts w:hint="eastAsia" w:ascii="仿宋" w:hAnsi="仿宋" w:eastAsia="仿宋" w:cs="仿宋"/>
                <w:sz w:val="24"/>
                <w:szCs w:val="24"/>
              </w:rPr>
            </w:pPr>
          </w:p>
        </w:tc>
      </w:tr>
      <w:tr w14:paraId="27C5E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2371" w:type="dxa"/>
            <w:gridSpan w:val="2"/>
            <w:tcBorders>
              <w:top w:val="single" w:color="auto" w:sz="4" w:space="0"/>
              <w:left w:val="single" w:color="auto" w:sz="4" w:space="0"/>
              <w:bottom w:val="single" w:color="auto" w:sz="4" w:space="0"/>
              <w:right w:val="single" w:color="auto" w:sz="4" w:space="0"/>
            </w:tcBorders>
            <w:noWrap w:val="0"/>
            <w:vAlign w:val="center"/>
          </w:tcPr>
          <w:p w14:paraId="251F7A4D">
            <w:pPr>
              <w:spacing w:line="360" w:lineRule="auto"/>
              <w:jc w:val="center"/>
              <w:rPr>
                <w:rFonts w:hint="default" w:ascii="仿宋" w:hAnsi="仿宋" w:eastAsia="仿宋" w:cs="仿宋"/>
                <w:b/>
                <w:sz w:val="24"/>
                <w:szCs w:val="24"/>
                <w:lang w:val="en-US" w:eastAsia="zh-CN"/>
              </w:rPr>
            </w:pPr>
            <w:bookmarkStart w:id="8" w:name="_Hlk25834437"/>
            <w:r>
              <w:rPr>
                <w:rFonts w:hint="eastAsia" w:ascii="仿宋" w:hAnsi="仿宋" w:eastAsia="仿宋" w:cs="仿宋"/>
                <w:b/>
                <w:sz w:val="24"/>
                <w:szCs w:val="24"/>
              </w:rPr>
              <w:t>单项合计</w:t>
            </w:r>
            <w:r>
              <w:rPr>
                <w:rFonts w:hint="eastAsia" w:ascii="仿宋" w:hAnsi="仿宋" w:eastAsia="仿宋" w:cs="仿宋"/>
                <w:b/>
                <w:sz w:val="24"/>
                <w:szCs w:val="24"/>
                <w:lang w:eastAsia="zh-CN"/>
              </w:rPr>
              <w:t>（</w:t>
            </w:r>
            <w:r>
              <w:rPr>
                <w:rFonts w:hint="eastAsia" w:ascii="仿宋" w:hAnsi="仿宋" w:eastAsia="仿宋" w:cs="仿宋"/>
                <w:b/>
                <w:sz w:val="24"/>
                <w:szCs w:val="24"/>
                <w:lang w:val="en-US" w:eastAsia="zh-CN"/>
              </w:rPr>
              <w:t>元</w:t>
            </w:r>
            <w:r>
              <w:rPr>
                <w:rFonts w:hint="eastAsia" w:ascii="仿宋" w:hAnsi="仿宋" w:eastAsia="仿宋" w:cs="仿宋"/>
                <w:b/>
                <w:sz w:val="24"/>
                <w:szCs w:val="24"/>
                <w:lang w:eastAsia="zh-CN"/>
              </w:rPr>
              <w:t>）</w:t>
            </w:r>
          </w:p>
        </w:tc>
        <w:tc>
          <w:tcPr>
            <w:tcW w:w="3118" w:type="dxa"/>
            <w:gridSpan w:val="2"/>
            <w:tcBorders>
              <w:top w:val="single" w:color="auto" w:sz="4" w:space="0"/>
              <w:left w:val="single" w:color="auto" w:sz="4" w:space="0"/>
              <w:bottom w:val="single" w:color="auto" w:sz="4" w:space="0"/>
              <w:right w:val="single" w:color="auto" w:sz="4" w:space="0"/>
            </w:tcBorders>
            <w:noWrap w:val="0"/>
            <w:vAlign w:val="center"/>
          </w:tcPr>
          <w:p w14:paraId="5845E77A">
            <w:pPr>
              <w:spacing w:line="360" w:lineRule="auto"/>
              <w:jc w:val="both"/>
              <w:rPr>
                <w:rFonts w:hint="eastAsia" w:ascii="仿宋" w:hAnsi="仿宋" w:eastAsia="仿宋" w:cs="仿宋"/>
                <w:b/>
                <w:sz w:val="24"/>
                <w:szCs w:val="24"/>
              </w:rPr>
            </w:pPr>
            <w:r>
              <w:rPr>
                <w:rFonts w:hint="eastAsia" w:ascii="仿宋" w:hAnsi="仿宋" w:eastAsia="仿宋" w:cs="仿宋"/>
                <w:b/>
                <w:sz w:val="24"/>
                <w:szCs w:val="24"/>
              </w:rPr>
              <w:t>大写</w:t>
            </w:r>
            <w:r>
              <w:rPr>
                <w:rFonts w:hint="eastAsia" w:ascii="仿宋" w:hAnsi="仿宋" w:eastAsia="仿宋" w:cs="仿宋"/>
                <w:b/>
                <w:sz w:val="24"/>
                <w:szCs w:val="24"/>
                <w:lang w:eastAsia="zh-CN"/>
              </w:rPr>
              <w:t>：</w:t>
            </w:r>
          </w:p>
        </w:tc>
        <w:tc>
          <w:tcPr>
            <w:tcW w:w="2788" w:type="dxa"/>
            <w:gridSpan w:val="2"/>
            <w:tcBorders>
              <w:top w:val="single" w:color="auto" w:sz="4" w:space="0"/>
              <w:left w:val="single" w:color="auto" w:sz="4" w:space="0"/>
              <w:bottom w:val="single" w:color="auto" w:sz="4" w:space="0"/>
              <w:right w:val="single" w:color="auto" w:sz="4" w:space="0"/>
            </w:tcBorders>
            <w:noWrap w:val="0"/>
            <w:vAlign w:val="center"/>
          </w:tcPr>
          <w:p w14:paraId="08685F1B">
            <w:pPr>
              <w:spacing w:line="360" w:lineRule="auto"/>
              <w:ind w:left="-141" w:leftChars="-67" w:right="-69" w:rightChars="-33" w:firstLine="241" w:firstLineChars="100"/>
              <w:rPr>
                <w:rFonts w:hint="eastAsia" w:ascii="仿宋" w:hAnsi="仿宋" w:eastAsia="仿宋" w:cs="仿宋"/>
                <w:b/>
                <w:sz w:val="24"/>
                <w:szCs w:val="24"/>
              </w:rPr>
            </w:pPr>
            <w:r>
              <w:rPr>
                <w:rFonts w:hint="eastAsia" w:ascii="仿宋" w:hAnsi="仿宋" w:eastAsia="仿宋" w:cs="仿宋"/>
                <w:b/>
                <w:sz w:val="24"/>
                <w:szCs w:val="24"/>
              </w:rPr>
              <w:t>小写：</w:t>
            </w:r>
          </w:p>
        </w:tc>
      </w:tr>
      <w:bookmarkEnd w:id="8"/>
    </w:tbl>
    <w:p w14:paraId="5DC5B310">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2.合同价款</w:t>
      </w:r>
    </w:p>
    <w:p w14:paraId="06B689BC">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2.1谈判报价是供应商为完成本次谈判所要求的货物、服务且验收合格的所有费用，包括但不限于产品(设备)费、材料、安装调试费、运杂费（含保险）、仓储保管费、技术培训费、劳务、风险、利润、规费、税金、验收、招标代理服务费</w:t>
      </w:r>
      <w:bookmarkStart w:id="9" w:name="_GoBack"/>
      <w:bookmarkEnd w:id="9"/>
      <w:r>
        <w:rPr>
          <w:rFonts w:hint="eastAsia" w:ascii="仿宋" w:hAnsi="仿宋" w:eastAsia="仿宋" w:cs="仿宋"/>
          <w:snapToGrid w:val="0"/>
          <w:spacing w:val="12"/>
          <w:sz w:val="24"/>
          <w:szCs w:val="24"/>
        </w:rPr>
        <w:t>、政策性文件规定的各项应有费用等其他一切相关费用。供应商所报的价格应考虑到可能发生的所有与完成本次谈判相关货物、服务及履行合同义务有关的一切费用，任何有选择的报价将不予接受，按无效谈判处理。</w:t>
      </w:r>
    </w:p>
    <w:p w14:paraId="284C301A">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供应商所报的谈判价在合同执行过程中是固定不变的，不得以任何理由予以变更。任何包含价格调整要求的谈判，将被认为是非响应性谈判而予以拒绝。</w:t>
      </w:r>
    </w:p>
    <w:p w14:paraId="0BADE597">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在谈判过程中采取二次报价的形式，即各供应商竞争性谈判响应文件中的报价即为第一次报价，能满足竞争性谈判文件实质性响应要求且最后报价最低的原则进行评审。如采购需求没有实质性变化，各供应商报价应逐次降低，本次报价超过上次报价为无效报价。</w:t>
      </w:r>
    </w:p>
    <w:p w14:paraId="7C7F6286">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2.2固定单价合同，合同单价固定不变，不受市场价格变化等因素的影响。</w:t>
      </w:r>
    </w:p>
    <w:p w14:paraId="7D554ABC">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2.3后期结算根据供应商所供的量据实结算。结算价=货物（产品）单价×货物（产品）数量。</w:t>
      </w:r>
    </w:p>
    <w:p w14:paraId="4BB706A3">
      <w:pPr>
        <w:spacing w:line="360" w:lineRule="auto"/>
        <w:rPr>
          <w:rFonts w:hint="eastAsia" w:ascii="仿宋" w:hAnsi="仿宋" w:eastAsia="仿宋" w:cs="仿宋"/>
          <w:b/>
          <w:snapToGrid w:val="0"/>
          <w:spacing w:val="12"/>
          <w:sz w:val="24"/>
          <w:szCs w:val="24"/>
        </w:rPr>
      </w:pPr>
      <w:r>
        <w:rPr>
          <w:rFonts w:hint="eastAsia" w:ascii="仿宋" w:hAnsi="仿宋" w:eastAsia="仿宋" w:cs="仿宋"/>
          <w:b/>
          <w:snapToGrid w:val="0"/>
          <w:spacing w:val="12"/>
          <w:sz w:val="24"/>
          <w:szCs w:val="24"/>
        </w:rPr>
        <w:t>3.款项结算</w:t>
      </w:r>
    </w:p>
    <w:p w14:paraId="7774ADBA">
      <w:pPr>
        <w:spacing w:line="360" w:lineRule="auto"/>
        <w:ind w:firstLine="528" w:firstLineChars="200"/>
        <w:rPr>
          <w:rFonts w:hint="default" w:ascii="仿宋" w:hAnsi="仿宋" w:eastAsia="仿宋" w:cs="仿宋"/>
          <w:bCs/>
          <w:snapToGrid w:val="0"/>
          <w:spacing w:val="12"/>
          <w:sz w:val="24"/>
          <w:szCs w:val="24"/>
          <w:lang w:val="en-US" w:eastAsia="zh-CN"/>
        </w:rPr>
      </w:pPr>
      <w:r>
        <w:rPr>
          <w:rFonts w:hint="eastAsia" w:ascii="仿宋" w:hAnsi="仿宋" w:eastAsia="仿宋" w:cs="仿宋"/>
          <w:bCs/>
          <w:snapToGrid w:val="0"/>
          <w:spacing w:val="12"/>
          <w:sz w:val="24"/>
          <w:szCs w:val="24"/>
        </w:rPr>
        <w:t>3.1付款方式：</w:t>
      </w:r>
      <w:r>
        <w:rPr>
          <w:rFonts w:hint="eastAsia" w:ascii="仿宋" w:hAnsi="仿宋" w:eastAsia="仿宋" w:cs="仿宋"/>
          <w:bCs/>
          <w:snapToGrid w:val="0"/>
          <w:spacing w:val="12"/>
          <w:sz w:val="24"/>
          <w:szCs w:val="24"/>
          <w:u w:val="single"/>
          <w:lang w:val="en-US" w:eastAsia="zh-CN"/>
        </w:rPr>
        <w:t xml:space="preserve"> 根据实际供货量据实结算   </w:t>
      </w:r>
    </w:p>
    <w:p w14:paraId="38337DA4">
      <w:pPr>
        <w:spacing w:line="360" w:lineRule="auto"/>
        <w:ind w:firstLine="528" w:firstLineChars="200"/>
        <w:rPr>
          <w:rFonts w:hint="eastAsia" w:ascii="仿宋" w:hAnsi="仿宋" w:eastAsia="仿宋" w:cs="仿宋"/>
          <w:bCs/>
          <w:snapToGrid w:val="0"/>
          <w:spacing w:val="12"/>
          <w:sz w:val="24"/>
          <w:szCs w:val="24"/>
        </w:rPr>
      </w:pPr>
      <w:r>
        <w:rPr>
          <w:rFonts w:hint="eastAsia" w:ascii="仿宋" w:hAnsi="仿宋" w:eastAsia="仿宋" w:cs="仿宋"/>
          <w:bCs/>
          <w:snapToGrid w:val="0"/>
          <w:spacing w:val="12"/>
          <w:sz w:val="24"/>
          <w:szCs w:val="24"/>
        </w:rPr>
        <w:t>3.2结算方式：乙方持验收合格单，全额合规发票（按合同总价值开），中标通知书、合同，与甲方结算。</w:t>
      </w:r>
    </w:p>
    <w:p w14:paraId="304A9B8C">
      <w:pPr>
        <w:spacing w:line="360" w:lineRule="auto"/>
        <w:ind w:firstLine="528" w:firstLineChars="200"/>
        <w:rPr>
          <w:rFonts w:hint="eastAsia" w:ascii="仿宋" w:hAnsi="仿宋" w:eastAsia="仿宋" w:cs="仿宋"/>
          <w:bCs/>
          <w:snapToGrid w:val="0"/>
          <w:spacing w:val="12"/>
          <w:sz w:val="24"/>
          <w:szCs w:val="24"/>
        </w:rPr>
      </w:pPr>
      <w:r>
        <w:rPr>
          <w:rFonts w:hint="eastAsia" w:ascii="仿宋" w:hAnsi="仿宋" w:eastAsia="仿宋" w:cs="仿宋"/>
          <w:bCs/>
          <w:snapToGrid w:val="0"/>
          <w:spacing w:val="12"/>
          <w:sz w:val="24"/>
          <w:szCs w:val="24"/>
        </w:rPr>
        <w:t>3.3支付方式：银行</w:t>
      </w:r>
      <w:r>
        <w:rPr>
          <w:rFonts w:hint="eastAsia" w:ascii="仿宋" w:hAnsi="仿宋" w:eastAsia="仿宋" w:cs="仿宋"/>
          <w:bCs/>
          <w:snapToGrid w:val="0"/>
          <w:spacing w:val="12"/>
          <w:sz w:val="24"/>
          <w:szCs w:val="24"/>
          <w:lang w:eastAsia="zh-CN"/>
        </w:rPr>
        <w:t>转账</w:t>
      </w:r>
      <w:r>
        <w:rPr>
          <w:rFonts w:hint="eastAsia" w:ascii="仿宋" w:hAnsi="仿宋" w:eastAsia="仿宋" w:cs="仿宋"/>
          <w:bCs/>
          <w:snapToGrid w:val="0"/>
          <w:spacing w:val="12"/>
          <w:sz w:val="24"/>
          <w:szCs w:val="24"/>
        </w:rPr>
        <w:t>。</w:t>
      </w:r>
    </w:p>
    <w:p w14:paraId="55C7BF95">
      <w:pPr>
        <w:adjustRightInd w:val="0"/>
        <w:snapToGrid w:val="0"/>
        <w:spacing w:line="360" w:lineRule="auto"/>
        <w:rPr>
          <w:rFonts w:hint="eastAsia" w:ascii="仿宋" w:hAnsi="仿宋" w:eastAsia="仿宋" w:cs="仿宋"/>
          <w:b/>
          <w:spacing w:val="12"/>
          <w:sz w:val="24"/>
          <w:szCs w:val="24"/>
        </w:rPr>
      </w:pPr>
      <w:r>
        <w:rPr>
          <w:rFonts w:hint="eastAsia" w:ascii="仿宋" w:hAnsi="仿宋" w:eastAsia="仿宋" w:cs="仿宋"/>
          <w:b/>
          <w:snapToGrid w:val="0"/>
          <w:spacing w:val="12"/>
          <w:sz w:val="24"/>
          <w:szCs w:val="24"/>
        </w:rPr>
        <w:t>4.服务期</w:t>
      </w:r>
      <w:r>
        <w:rPr>
          <w:rFonts w:hint="eastAsia" w:ascii="仿宋" w:hAnsi="仿宋" w:eastAsia="仿宋" w:cs="仿宋"/>
          <w:b/>
          <w:spacing w:val="12"/>
          <w:sz w:val="24"/>
          <w:szCs w:val="24"/>
        </w:rPr>
        <w:t>、供货期和交货地点</w:t>
      </w:r>
    </w:p>
    <w:p w14:paraId="30332FF5">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4.1服务期：自合同签订之日起一年。</w:t>
      </w:r>
    </w:p>
    <w:p w14:paraId="1EA38571">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4.2供货期：按照采购人要求，接到采购人订单后1个日历日完成供货。</w:t>
      </w:r>
    </w:p>
    <w:p w14:paraId="181C4568">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4.3交货地点：采购人指定地点。</w:t>
      </w:r>
    </w:p>
    <w:p w14:paraId="7F529A20">
      <w:pPr>
        <w:numPr>
          <w:ilvl w:val="0"/>
          <w:numId w:val="1"/>
        </w:numPr>
        <w:adjustRightInd w:val="0"/>
        <w:snapToGrid w:val="0"/>
        <w:spacing w:line="360" w:lineRule="auto"/>
        <w:rPr>
          <w:rFonts w:hint="eastAsia" w:ascii="仿宋" w:hAnsi="仿宋" w:eastAsia="仿宋" w:cs="仿宋"/>
          <w:b/>
          <w:bCs/>
          <w:spacing w:val="12"/>
          <w:sz w:val="24"/>
          <w:szCs w:val="24"/>
        </w:rPr>
      </w:pPr>
      <w:r>
        <w:rPr>
          <w:rFonts w:hint="eastAsia" w:ascii="仿宋" w:hAnsi="仿宋" w:eastAsia="仿宋" w:cs="仿宋"/>
          <w:b/>
          <w:bCs/>
          <w:spacing w:val="12"/>
          <w:sz w:val="24"/>
          <w:szCs w:val="24"/>
        </w:rPr>
        <w:t>质量保证</w:t>
      </w:r>
    </w:p>
    <w:p w14:paraId="2EFA1593">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5.1乙方产品质量需达到国家标准或行业标准，这些标准和技术规范应为协议签订日为止最新公布发行的标准和技术规范。</w:t>
      </w:r>
    </w:p>
    <w:p w14:paraId="6ADB3E9C">
      <w:pPr>
        <w:adjustRightInd w:val="0"/>
        <w:snapToGrid w:val="0"/>
        <w:spacing w:line="360" w:lineRule="auto"/>
        <w:ind w:firstLine="528" w:firstLineChars="200"/>
        <w:rPr>
          <w:rFonts w:hint="eastAsia" w:ascii="仿宋" w:hAnsi="仿宋" w:eastAsia="仿宋" w:cs="仿宋"/>
          <w:sz w:val="24"/>
          <w:szCs w:val="24"/>
        </w:rPr>
      </w:pPr>
      <w:r>
        <w:rPr>
          <w:rFonts w:hint="eastAsia" w:ascii="仿宋" w:hAnsi="仿宋" w:eastAsia="仿宋" w:cs="仿宋"/>
          <w:spacing w:val="12"/>
          <w:sz w:val="24"/>
          <w:szCs w:val="24"/>
        </w:rPr>
        <w:t>5.2如乙方产品达不到本合同标准，出现三次以上问题，则视为乙方违约,甲方有权拒绝接收乙方货物,按照合同约定追究乙方违约责任。</w:t>
      </w:r>
    </w:p>
    <w:p w14:paraId="77E3B99C">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5.3关于产品质量，乙方所供货物必须执行下列条款：</w:t>
      </w:r>
    </w:p>
    <w:p w14:paraId="36485F73">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5.3.1保证技术指标先进、质量性能可靠、进货渠道正规，配置合理，全面满足要求。</w:t>
      </w:r>
    </w:p>
    <w:p w14:paraId="4E6752DD">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5.3.2符合国家有关规范要求，确保达到最佳运行状态。</w:t>
      </w:r>
    </w:p>
    <w:p w14:paraId="363CE921">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5.3.3具有良好的外观，适合安装场所的使用。</w:t>
      </w:r>
    </w:p>
    <w:p w14:paraId="608693DA">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5.4乙方所供产品因侵权（包括但不限于侵犯知识产权以及因产品质量问题导致甲乙双方或第三方人身、财产遭受损失）而产生的一切后果由乙方自行负责，由此给甲方造成任何损失的，乙方承担赔偿责任。</w:t>
      </w:r>
    </w:p>
    <w:p w14:paraId="1CC26217">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5.5提供1年质保服务。</w:t>
      </w:r>
    </w:p>
    <w:p w14:paraId="10CB4FF8">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6.包装和储运</w:t>
      </w:r>
    </w:p>
    <w:p w14:paraId="4A121AC6">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6.1乙方应为办公耗材提供适宜办公耗材运输的包装方式，办公耗材采用密封形式，包装上应注明防潮、防湿、防震、防锈、忌粗暴搬运。对于由于包装不良所发生的损失及由于采用不充分或不妥善的防护措施而造成的任何破损，乙方应承担由此而产生的一切费用和损失。</w:t>
      </w:r>
    </w:p>
    <w:p w14:paraId="213BC6FF">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6.2乙方负责无偿将办公耗材运送至甲方指定交货地点。运输过程中，办公耗材毁损、丢失及发生事故等风险、费用均由乙方承担。</w:t>
      </w:r>
    </w:p>
    <w:p w14:paraId="046C876E">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6.3办公耗材运送至甲方提定地点后，由甲乙双方共同对办公耗材进行检验并办理相关办公耗材移交手续。</w:t>
      </w:r>
    </w:p>
    <w:p w14:paraId="39E4987F">
      <w:pPr>
        <w:adjustRightInd w:val="0"/>
        <w:snapToGrid w:val="0"/>
        <w:spacing w:line="360" w:lineRule="auto"/>
        <w:rPr>
          <w:rFonts w:hint="eastAsia" w:ascii="仿宋" w:hAnsi="仿宋" w:eastAsia="仿宋" w:cs="仿宋"/>
          <w:b/>
          <w:bCs/>
          <w:spacing w:val="12"/>
          <w:sz w:val="24"/>
          <w:szCs w:val="24"/>
        </w:rPr>
      </w:pPr>
      <w:r>
        <w:rPr>
          <w:rFonts w:hint="eastAsia" w:ascii="仿宋" w:hAnsi="仿宋" w:eastAsia="仿宋" w:cs="仿宋"/>
          <w:b/>
          <w:bCs/>
          <w:spacing w:val="12"/>
          <w:sz w:val="24"/>
          <w:szCs w:val="24"/>
        </w:rPr>
        <w:t>7.售后服务</w:t>
      </w:r>
    </w:p>
    <w:p w14:paraId="6906C5CB">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7.1乙方保证无条件退换有质量问题的产品（如包装破损、配件不全、质量不合格无法使用的及与甲方要求的品牌、型号、颜色有差异等），并可无条件退换多余的物品。</w:t>
      </w:r>
    </w:p>
    <w:p w14:paraId="4DA999B9">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7.2产品出现质量问题的，乙方应在收到通知后48小时内响应并到达现场，如因未能及时到达而给甲方造成损失的，乙方应负责赔偿。</w:t>
      </w:r>
    </w:p>
    <w:p w14:paraId="20657BEE">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7.3非质量问题的办公耗材退换：在不损坏商品的使用功能、原包装及不影响乙方再次销售的情况下，可以无条件退换货。</w:t>
      </w:r>
    </w:p>
    <w:p w14:paraId="65758FF3">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7.4乙方应提供有效的联系人和联系电话，如有变更，乙方应及时、主动通知甲方。每批订单指定专人负责跟单送货，送货人应佩戴公司标志，遵守相关的规章制度。如有特殊情况需另行安排人员跟单送货,将作好送货情况交接表，以避免因更换送货人员而耽误退换或补货等的及时性。</w:t>
      </w:r>
    </w:p>
    <w:p w14:paraId="7997FD0C">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pacing w:val="12"/>
          <w:sz w:val="24"/>
          <w:szCs w:val="24"/>
        </w:rPr>
        <w:t>8.</w:t>
      </w:r>
      <w:r>
        <w:rPr>
          <w:rFonts w:hint="eastAsia" w:ascii="仿宋" w:hAnsi="仿宋" w:eastAsia="仿宋" w:cs="仿宋"/>
          <w:b/>
          <w:bCs/>
          <w:snapToGrid w:val="0"/>
          <w:spacing w:val="12"/>
          <w:sz w:val="24"/>
          <w:szCs w:val="24"/>
        </w:rPr>
        <w:t>验收</w:t>
      </w:r>
    </w:p>
    <w:p w14:paraId="04DC6A51">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8.1乙方送货时，需附上送货清单，经甲方负责人清点验收合格后，在送货清单上签字确认作为双方结算的依据，双方留底。</w:t>
      </w:r>
    </w:p>
    <w:p w14:paraId="3E7D2FD1">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8.2在验收过程中，如发现产品的品名、规格/型号与甲方需要的产品不符或是无法使用时，甲方有权要求乙方无条件进行退换。</w:t>
      </w:r>
    </w:p>
    <w:p w14:paraId="44F99361">
      <w:pPr>
        <w:adjustRightInd w:val="0"/>
        <w:snapToGrid w:val="0"/>
        <w:spacing w:line="360" w:lineRule="auto"/>
        <w:ind w:firstLine="528" w:firstLineChars="200"/>
        <w:rPr>
          <w:rFonts w:hint="eastAsia" w:ascii="仿宋" w:hAnsi="仿宋" w:eastAsia="仿宋" w:cs="仿宋"/>
          <w:spacing w:val="12"/>
          <w:sz w:val="24"/>
          <w:szCs w:val="24"/>
        </w:rPr>
      </w:pPr>
      <w:r>
        <w:rPr>
          <w:rFonts w:hint="eastAsia" w:ascii="仿宋" w:hAnsi="仿宋" w:eastAsia="仿宋" w:cs="仿宋"/>
          <w:spacing w:val="12"/>
          <w:sz w:val="24"/>
          <w:szCs w:val="24"/>
        </w:rPr>
        <w:t>8.3产品在开始使用后出现质量问题的，甲方及时向乙方反馈意见并停止使用，乙方在接到甲方的问题反馈后，应立即作出产品更换处理意见，最终得到甲方的认可为止。</w:t>
      </w:r>
    </w:p>
    <w:p w14:paraId="080E3030">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9.违约责任</w:t>
      </w:r>
    </w:p>
    <w:p w14:paraId="59D16381">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9.1按《中华人民共和国民法典》中的相关条款执行。</w:t>
      </w:r>
    </w:p>
    <w:p w14:paraId="54A5A52F">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9.2未按合同及招标文件要求提供产品、服务或产品质量不能满足合同要求，甲方有权依据《民法典》有关条款及合同约定解除合同，合同自书面解除通知到达乙方之日起解除，并按以下两种方式追究乙方违约责任：</w:t>
      </w:r>
    </w:p>
    <w:p w14:paraId="724DF321">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9.2.1乙方赔偿甲方解除合同的全部损失（包括但不限于重新采购产生的费用）；</w:t>
      </w:r>
    </w:p>
    <w:p w14:paraId="0799F214">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9.2.2乙方支付甲方违约金，违约金计算方法：乙方支付甲方5万元违约金。</w:t>
      </w:r>
    </w:p>
    <w:p w14:paraId="1E8A4CFC">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10.合同争议解决的方式</w:t>
      </w:r>
    </w:p>
    <w:p w14:paraId="03A4C36C">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本合同在履行过程中发生的争议，由甲、乙双方当事人协商解决，协商不成的依法向甲方所在地人民法院起诉。</w:t>
      </w:r>
    </w:p>
    <w:p w14:paraId="7C97F5F4">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11.其他事项</w:t>
      </w:r>
    </w:p>
    <w:p w14:paraId="7D24C0C4">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 xml:space="preserve">11.1合同未尽事宜，由甲、乙双方协商，经见证方确认后，签订补充协议，与本合同具有同等法律效力。补充协议与本协议不一致的，以补充协议为准。 </w:t>
      </w:r>
    </w:p>
    <w:p w14:paraId="63543019">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11.2合同一经签订，不得擅自变更、中止或终止合同。对确需变更、调整或中止、终止合同的，有法律规定的按照法律规定，除合同约定外，由甲乙双方再行协商，协商一致前，原合同或条款继续履行。</w:t>
      </w:r>
    </w:p>
    <w:p w14:paraId="0082E624">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11.3本合同按照中华人民共和国的现行法律进行解释。</w:t>
      </w:r>
    </w:p>
    <w:p w14:paraId="597CFC92">
      <w:pPr>
        <w:adjustRightInd w:val="0"/>
        <w:snapToGrid w:val="0"/>
        <w:spacing w:line="360" w:lineRule="auto"/>
        <w:rPr>
          <w:rFonts w:hint="eastAsia" w:ascii="仿宋" w:hAnsi="仿宋" w:eastAsia="仿宋" w:cs="仿宋"/>
          <w:b/>
          <w:bCs/>
          <w:snapToGrid w:val="0"/>
          <w:spacing w:val="12"/>
          <w:sz w:val="24"/>
          <w:szCs w:val="24"/>
        </w:rPr>
      </w:pPr>
      <w:r>
        <w:rPr>
          <w:rFonts w:hint="eastAsia" w:ascii="仿宋" w:hAnsi="仿宋" w:eastAsia="仿宋" w:cs="仿宋"/>
          <w:b/>
          <w:bCs/>
          <w:snapToGrid w:val="0"/>
          <w:spacing w:val="12"/>
          <w:sz w:val="24"/>
          <w:szCs w:val="24"/>
        </w:rPr>
        <w:t>12.</w:t>
      </w:r>
      <w:r>
        <w:rPr>
          <w:rFonts w:hint="eastAsia" w:ascii="仿宋" w:hAnsi="仿宋" w:eastAsia="仿宋" w:cs="仿宋"/>
          <w:b/>
          <w:sz w:val="24"/>
          <w:szCs w:val="24"/>
        </w:rPr>
        <w:t>合同的生效、变更及合同份数</w:t>
      </w:r>
    </w:p>
    <w:p w14:paraId="1AB779BB">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12.1.本合同自双方法定代表人或者授权签字人签字并加盖公章之日起生效。</w:t>
      </w:r>
    </w:p>
    <w:p w14:paraId="7C2C711D">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12.2.本合同履行期内，甲乙双方均不得随意变更或解除合同。未尽事宜，由双方共同协商达成补充协议解决。补充协议与本合同不一致的，以补充协议为准。</w:t>
      </w:r>
    </w:p>
    <w:p w14:paraId="20CCAB96">
      <w:pPr>
        <w:adjustRightInd w:val="0"/>
        <w:snapToGrid w:val="0"/>
        <w:spacing w:line="360" w:lineRule="auto"/>
        <w:ind w:firstLine="528" w:firstLineChars="200"/>
        <w:rPr>
          <w:rFonts w:hint="eastAsia" w:ascii="仿宋" w:hAnsi="仿宋" w:eastAsia="仿宋" w:cs="仿宋"/>
          <w:snapToGrid w:val="0"/>
          <w:spacing w:val="12"/>
          <w:sz w:val="24"/>
          <w:szCs w:val="24"/>
        </w:rPr>
      </w:pPr>
      <w:r>
        <w:rPr>
          <w:rFonts w:hint="eastAsia" w:ascii="仿宋" w:hAnsi="仿宋" w:eastAsia="仿宋" w:cs="仿宋"/>
          <w:snapToGrid w:val="0"/>
          <w:spacing w:val="12"/>
          <w:sz w:val="24"/>
          <w:szCs w:val="24"/>
        </w:rPr>
        <w:t>12.3.因本合同引起的任何争议由双方协商解决，协商不成的，向甲方所在地人民法院提起诉讼解决。</w:t>
      </w:r>
    </w:p>
    <w:p w14:paraId="0C352D91">
      <w:pPr>
        <w:adjustRightInd w:val="0"/>
        <w:snapToGrid w:val="0"/>
        <w:spacing w:line="360" w:lineRule="auto"/>
        <w:ind w:firstLine="528" w:firstLineChars="200"/>
        <w:rPr>
          <w:rFonts w:hint="eastAsia" w:ascii="仿宋" w:hAnsi="仿宋" w:eastAsia="仿宋" w:cs="仿宋"/>
          <w:sz w:val="24"/>
          <w:szCs w:val="24"/>
        </w:rPr>
      </w:pPr>
      <w:r>
        <w:rPr>
          <w:rFonts w:hint="eastAsia" w:ascii="仿宋" w:hAnsi="仿宋" w:eastAsia="仿宋" w:cs="仿宋"/>
          <w:snapToGrid w:val="0"/>
          <w:spacing w:val="12"/>
          <w:sz w:val="24"/>
          <w:szCs w:val="24"/>
        </w:rPr>
        <w:t>12.4.本合同共</w:t>
      </w:r>
      <w:r>
        <w:rPr>
          <w:rFonts w:hint="eastAsia" w:ascii="仿宋" w:hAnsi="仿宋" w:eastAsia="仿宋" w:cs="仿宋"/>
          <w:snapToGrid w:val="0"/>
          <w:spacing w:val="12"/>
          <w:sz w:val="24"/>
          <w:szCs w:val="24"/>
          <w:u w:val="single"/>
        </w:rPr>
        <w:t xml:space="preserve">      </w:t>
      </w:r>
      <w:r>
        <w:rPr>
          <w:rFonts w:hint="eastAsia" w:ascii="仿宋" w:hAnsi="仿宋" w:eastAsia="仿宋" w:cs="仿宋"/>
          <w:snapToGrid w:val="0"/>
          <w:spacing w:val="12"/>
          <w:sz w:val="24"/>
          <w:szCs w:val="24"/>
        </w:rPr>
        <w:t>页，一式</w:t>
      </w:r>
      <w:r>
        <w:rPr>
          <w:rFonts w:hint="eastAsia" w:ascii="仿宋" w:hAnsi="仿宋" w:eastAsia="仿宋" w:cs="仿宋"/>
          <w:snapToGrid w:val="0"/>
          <w:spacing w:val="12"/>
          <w:sz w:val="24"/>
          <w:szCs w:val="24"/>
          <w:u w:val="single"/>
        </w:rPr>
        <w:t xml:space="preserve">     </w:t>
      </w:r>
      <w:r>
        <w:rPr>
          <w:rFonts w:hint="eastAsia" w:ascii="仿宋" w:hAnsi="仿宋" w:eastAsia="仿宋" w:cs="仿宋"/>
          <w:snapToGrid w:val="0"/>
          <w:spacing w:val="12"/>
          <w:sz w:val="24"/>
          <w:szCs w:val="24"/>
        </w:rPr>
        <w:t>份。甲方执</w:t>
      </w:r>
      <w:r>
        <w:rPr>
          <w:rFonts w:hint="eastAsia" w:ascii="仿宋" w:hAnsi="仿宋" w:eastAsia="仿宋" w:cs="仿宋"/>
          <w:snapToGrid w:val="0"/>
          <w:spacing w:val="12"/>
          <w:sz w:val="24"/>
          <w:szCs w:val="24"/>
          <w:u w:val="single"/>
        </w:rPr>
        <w:t xml:space="preserve">    </w:t>
      </w:r>
      <w:r>
        <w:rPr>
          <w:rFonts w:hint="eastAsia" w:ascii="仿宋" w:hAnsi="仿宋" w:eastAsia="仿宋" w:cs="仿宋"/>
          <w:snapToGrid w:val="0"/>
          <w:spacing w:val="12"/>
          <w:sz w:val="24"/>
          <w:szCs w:val="24"/>
        </w:rPr>
        <w:t>份，乙方执</w:t>
      </w:r>
      <w:r>
        <w:rPr>
          <w:rFonts w:hint="eastAsia" w:ascii="仿宋" w:hAnsi="仿宋" w:eastAsia="仿宋" w:cs="仿宋"/>
          <w:snapToGrid w:val="0"/>
          <w:spacing w:val="12"/>
          <w:sz w:val="24"/>
          <w:szCs w:val="24"/>
          <w:u w:val="single"/>
        </w:rPr>
        <w:t xml:space="preserve">     </w:t>
      </w:r>
      <w:r>
        <w:rPr>
          <w:rFonts w:hint="eastAsia" w:ascii="仿宋" w:hAnsi="仿宋" w:eastAsia="仿宋" w:cs="仿宋"/>
          <w:snapToGrid w:val="0"/>
          <w:spacing w:val="12"/>
          <w:sz w:val="24"/>
          <w:szCs w:val="24"/>
        </w:rPr>
        <w:t>份。附件为主合同的一部分，具有同等法律效力。</w:t>
      </w:r>
    </w:p>
    <w:p w14:paraId="70838E67">
      <w:pPr>
        <w:rPr>
          <w:rFonts w:hint="eastAsia" w:ascii="仿宋" w:hAnsi="仿宋" w:eastAsia="仿宋" w:cs="仿宋"/>
          <w:sz w:val="24"/>
          <w:szCs w:val="24"/>
        </w:rPr>
      </w:pPr>
      <w:r>
        <w:rPr>
          <w:rFonts w:hint="eastAsia" w:ascii="仿宋" w:hAnsi="仿宋" w:eastAsia="仿宋" w:cs="仿宋"/>
          <w:sz w:val="24"/>
          <w:szCs w:val="24"/>
        </w:rPr>
        <w:br w:type="page"/>
      </w:r>
    </w:p>
    <w:p w14:paraId="229FAFE9">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甲  方（法人公章）                    乙  方（法人公章）</w:t>
      </w:r>
    </w:p>
    <w:p w14:paraId="6F5C4E86">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单位名称：                            单位名称:</w:t>
      </w:r>
    </w:p>
    <w:p w14:paraId="49C4971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地  址：                              地  址：</w:t>
      </w:r>
    </w:p>
    <w:p w14:paraId="7C2F66A9">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法定代表人：（签章）                  法定代表人：（签字） </w:t>
      </w:r>
    </w:p>
    <w:p w14:paraId="5823FB8C">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签订日期：     年    月    日         签订日期：    年    月    日</w:t>
      </w:r>
    </w:p>
    <w:p w14:paraId="6E803D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F2249B"/>
    <w:multiLevelType w:val="singleLevel"/>
    <w:tmpl w:val="3AF2249B"/>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NDhmMjc1OGVjYzUyMmFmYTEwMzI5MDU2YzA3MTAifQ=="/>
  </w:docVars>
  <w:rsids>
    <w:rsidRoot w:val="2AD53BD4"/>
    <w:rsid w:val="0E6936BE"/>
    <w:rsid w:val="14751CD5"/>
    <w:rsid w:val="1B8F06E3"/>
    <w:rsid w:val="2AD53BD4"/>
    <w:rsid w:val="32484753"/>
    <w:rsid w:val="36A66F32"/>
    <w:rsid w:val="401B6BE3"/>
    <w:rsid w:val="40980764"/>
    <w:rsid w:val="69765236"/>
    <w:rsid w:val="6F013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6"/>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character" w:customStyle="1" w:styleId="6">
    <w:name w:val="标题 1 Char"/>
    <w:link w:val="3"/>
    <w:qFormat/>
    <w:uiPriority w:val="0"/>
    <w:rPr>
      <w:rFonts w:ascii="黑体" w:eastAsia="黑体"/>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2608</Words>
  <Characters>2726</Characters>
  <Lines>0</Lines>
  <Paragraphs>0</Paragraphs>
  <TotalTime>19</TotalTime>
  <ScaleCrop>false</ScaleCrop>
  <LinksUpToDate>false</LinksUpToDate>
  <CharactersWithSpaces>2978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2024-04-12T08:16:00Z</dcterms:created>
  <dc:creator>男哥</dc:creator>
  <cp:lastModifiedBy>男哥</cp:lastModifiedBy>
  <dcterms:modified xsi:type="dcterms:W3CDTF">2025-08-12T02:58:58Z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B15B3812201141C58CECBAE9C9FEAF5C_13</vt:lpwstr>
  </property>
  <property fmtid="{D5CDD505-2E9C-101B-9397-08002B2CF9AE}" pid="4" name="KSOTemplateDocerSaveRecord">
    <vt:lpwstr>eyJoZGlkIjoiZjQyNzJlZDUwMGE2NWQ1M2VjMGQ2MzI3ZWY0NDNiMmIiLCJ1c2VySWQiOiI0NDMyMjU3ODQifQ==</vt:lpwstr>
  </property>
</Properties>
</file>