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版本号：ZCXG-ZB-202505420250812001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西安市雁塔区委员会办公室办公耗材采购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ZCXG-ZB-2025054</w:t>
      </w:r>
      <w:r>
        <w:br/>
      </w:r>
      <w:r>
        <w:br/>
      </w:r>
      <w:r>
        <w:br/>
      </w:r>
    </w:p>
    <w:p>
      <w:pPr>
        <w:pStyle w:val="null3"/>
        <w:jc w:val="center"/>
        <w:outlineLvl w:val="2"/>
      </w:pPr>
      <w:r>
        <w:rPr>
          <w:rFonts w:ascii="仿宋_GB2312" w:hAnsi="仿宋_GB2312" w:cs="仿宋_GB2312" w:eastAsia="仿宋_GB2312"/>
          <w:sz w:val="28"/>
          <w:b/>
        </w:rPr>
        <w:t>中国共产党西安市雁塔区委员会办公室</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中国共产党西安市雁塔区委员会办公室</w:t>
      </w:r>
      <w:r>
        <w:rPr>
          <w:rFonts w:ascii="仿宋_GB2312" w:hAnsi="仿宋_GB2312" w:cs="仿宋_GB2312" w:eastAsia="仿宋_GB2312"/>
        </w:rPr>
        <w:t>委托，拟对</w:t>
      </w:r>
      <w:r>
        <w:rPr>
          <w:rFonts w:ascii="仿宋_GB2312" w:hAnsi="仿宋_GB2312" w:cs="仿宋_GB2312" w:eastAsia="仿宋_GB2312"/>
        </w:rPr>
        <w:t>西安市雁塔区委员会办公室办公耗材采购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西安市雁塔区委员会办公室办公耗材采购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西安市雁塔区委员会办公室办公耗材采购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 ：提供谈判截止日前六个月内已缴纳的至少一个月的纳税证明或完税证明，依法免税的单位应提供相关证明材料。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 ：提供谈判截止日前六个月内已缴存的至少一个月的社会保障资金缴存单据或社保机构开具的社会保险参保缴费情况证明，依法不需要缴纳社会保障资金的单位应提供相关证明材料。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5、履约能力声明 ：提供具有履行合同所必需的设备和专业技术能力的承诺。</w:t>
      </w:r>
    </w:p>
    <w:p>
      <w:pPr>
        <w:pStyle w:val="null3"/>
      </w:pPr>
      <w:r>
        <w:rPr>
          <w:rFonts w:ascii="仿宋_GB2312" w:hAnsi="仿宋_GB2312" w:cs="仿宋_GB2312" w:eastAsia="仿宋_GB2312"/>
        </w:rPr>
        <w:t>6、身份证明 ：法定代表人直接参加投标的，须提供法定代表人身份证明；法定代表人授权代表参加投标的，须提供法定代表人授权委托书。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中国共产党西安市雁塔区委员会办公室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中国共产党西安市雁塔区委员会办公室</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中国共产党西安市雁塔区委员会办公室</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中国共产党西安市雁塔区委员会办公室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西安市雁塔区委员会办公室办公耗材采购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办公耗材采购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标的名称：办公耗材采购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一、技术要求</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none" w:color="000000" w:sz="4"/>
                    <w:left w:val="none" w:color="000000" w:sz="4"/>
                    <w:bottom w:val="single" w:color="000000" w:sz="4"/>
                    <w:right w:val="non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27"/>
                    <w:gridCol w:w="437"/>
                    <w:gridCol w:w="254"/>
                    <w:gridCol w:w="209"/>
                    <w:gridCol w:w="945"/>
                    <w:gridCol w:w="249"/>
                  </w:tblGrid>
                  <w:tr>
                    <w:tc>
                      <w:tcPr>
                        <w:tcW w:type="dxa" w:w="227"/>
                        <w:tcBorders>
                          <w:top w:val="single" w:color="000000" w:sz="8"/>
                          <w:left w:val="single" w:color="000000" w:sz="8"/>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37"/>
                        <w:tcBorders>
                          <w:top w:val="single" w:color="000000" w:sz="8"/>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打印机型号</w:t>
                        </w:r>
                      </w:p>
                    </w:tc>
                    <w:tc>
                      <w:tcPr>
                        <w:tcW w:type="dxa" w:w="254"/>
                        <w:tcBorders>
                          <w:top w:val="single" w:color="000000" w:sz="8"/>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标准</w:t>
                        </w:r>
                      </w:p>
                    </w:tc>
                    <w:tc>
                      <w:tcPr>
                        <w:tcW w:type="dxa" w:w="209"/>
                        <w:tcBorders>
                          <w:top w:val="single" w:color="000000" w:sz="8"/>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类型</w:t>
                        </w:r>
                      </w:p>
                    </w:tc>
                    <w:tc>
                      <w:tcPr>
                        <w:tcW w:type="dxa" w:w="945"/>
                        <w:tcBorders>
                          <w:top w:val="single" w:color="000000" w:sz="8"/>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w:t>
                        </w:r>
                      </w:p>
                    </w:tc>
                    <w:tc>
                      <w:tcPr>
                        <w:tcW w:type="dxa" w:w="249"/>
                        <w:tcBorders>
                          <w:top w:val="single" w:color="000000" w:sz="8"/>
                          <w:left w:val="single" w:color="000000" w:sz="4"/>
                          <w:bottom w:val="single" w:color="000000" w:sz="4"/>
                          <w:right w:val="single" w:color="000000" w:sz="8"/>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报价单位</w:t>
                        </w:r>
                      </w:p>
                    </w:tc>
                  </w:tr>
                  <w:tr>
                    <w:tc>
                      <w:tcPr>
                        <w:tcW w:type="dxa" w:w="22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兄弟</w:t>
                        </w:r>
                        <w:r>
                          <w:rPr>
                            <w:rFonts w:ascii="仿宋_GB2312" w:hAnsi="仿宋_GB2312" w:cs="仿宋_GB2312" w:eastAsia="仿宋_GB2312"/>
                            <w:sz w:val="22"/>
                          </w:rPr>
                          <w:t>HL-2260D</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≥11000页（A4幅面；5%覆盖率）；</w:t>
                        </w:r>
                      </w:p>
                    </w:tc>
                    <w:tc>
                      <w:tcPr>
                        <w:tcW w:type="dxa" w:w="249"/>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37"/>
                        <w:vMerge/>
                        <w:tcBorders>
                          <w:top w:val="non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non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≥11000页（A4幅面；5%覆盖率）；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兄弟</w:t>
                        </w:r>
                        <w:r>
                          <w:rPr>
                            <w:rFonts w:ascii="仿宋_GB2312" w:hAnsi="仿宋_GB2312" w:cs="仿宋_GB2312" w:eastAsia="仿宋_GB2312"/>
                            <w:sz w:val="22"/>
                          </w:rPr>
                          <w:t>HL-2260D</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惠普</w:t>
                        </w:r>
                        <w:r>
                          <w:rPr>
                            <w:rFonts w:ascii="仿宋_GB2312" w:hAnsi="仿宋_GB2312" w:cs="仿宋_GB2312" w:eastAsia="仿宋_GB2312"/>
                            <w:sz w:val="22"/>
                            <w:color w:val="000000"/>
                          </w:rPr>
                          <w:t>1020</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HP 惠普 M227fdw</w:t>
                        </w:r>
                      </w:p>
                      <w:p>
                        <w:pPr>
                          <w:pStyle w:val="null3"/>
                          <w:jc w:val="center"/>
                        </w:p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惠普</w:t>
                        </w:r>
                        <w:r>
                          <w:rPr>
                            <w:rFonts w:ascii="仿宋_GB2312" w:hAnsi="仿宋_GB2312" w:cs="仿宋_GB2312" w:eastAsia="仿宋_GB2312"/>
                            <w:sz w:val="22"/>
                          </w:rPr>
                          <w:t>M254d</w:t>
                        </w: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惠普（</w:t>
                        </w:r>
                        <w:r>
                          <w:rPr>
                            <w:rFonts w:ascii="仿宋_GB2312" w:hAnsi="仿宋_GB2312" w:cs="仿宋_GB2312" w:eastAsia="仿宋_GB2312"/>
                            <w:sz w:val="22"/>
                          </w:rPr>
                          <w:t>HP） M454d</w:t>
                        </w: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≥2100页（A4幅面；5%覆盖率）；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≥2100页（A4幅面；5%覆盖率）；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≥2100页（A4幅面；5%覆盖率）；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≥2100页（A4幅面；5%覆盖率）；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≥2100页（A4幅面；5%覆盖率）；带芯片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≥2100页（A4幅面；5%覆盖率）；带芯片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≥2100页（A4幅面；5%覆盖率）；带芯片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≥2100页（A4幅面；5%覆盖率）；带芯片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惠普</w:t>
                        </w:r>
                        <w:r>
                          <w:rPr>
                            <w:rFonts w:ascii="仿宋_GB2312" w:hAnsi="仿宋_GB2312" w:cs="仿宋_GB2312" w:eastAsia="仿宋_GB2312"/>
                            <w:sz w:val="22"/>
                          </w:rPr>
                          <w:t>1106</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京瓷</w:t>
                        </w:r>
                        <w:r>
                          <w:rPr>
                            <w:rFonts w:ascii="仿宋_GB2312" w:hAnsi="仿宋_GB2312" w:cs="仿宋_GB2312" w:eastAsia="仿宋_GB2312"/>
                            <w:sz w:val="22"/>
                          </w:rPr>
                          <w:t xml:space="preserve"> </w:t>
                        </w:r>
                      </w:p>
                      <w:p>
                        <w:pPr>
                          <w:pStyle w:val="null3"/>
                          <w:jc w:val="center"/>
                        </w:pPr>
                        <w:r>
                          <w:rPr>
                            <w:rFonts w:ascii="仿宋_GB2312" w:hAnsi="仿宋_GB2312" w:cs="仿宋_GB2312" w:eastAsia="仿宋_GB2312"/>
                            <w:sz w:val="22"/>
                          </w:rPr>
                          <w:t>P2235dn</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≥3000页（A4幅面；5%覆盖率）；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≥3000页（A4幅面；5%覆盖率）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兄弟</w:t>
                        </w:r>
                        <w:r>
                          <w:rPr>
                            <w:rFonts w:ascii="仿宋_GB2312" w:hAnsi="仿宋_GB2312" w:cs="仿宋_GB2312" w:eastAsia="仿宋_GB2312"/>
                            <w:sz w:val="22"/>
                          </w:rPr>
                          <w:t>2890</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≥11000页（A4幅面；5%覆盖率）；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≥11000页（A4幅面；5%覆盖率）；带芯片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兄弟</w:t>
                        </w:r>
                        <w:r>
                          <w:rPr>
                            <w:rFonts w:ascii="仿宋_GB2312" w:hAnsi="仿宋_GB2312" w:cs="仿宋_GB2312" w:eastAsia="仿宋_GB2312"/>
                            <w:sz w:val="22"/>
                          </w:rPr>
                          <w:t>2890</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理光</w:t>
                        </w:r>
                        <w:r>
                          <w:rPr>
                            <w:rFonts w:ascii="仿宋_GB2312" w:hAnsi="仿宋_GB2312" w:cs="仿宋_GB2312" w:eastAsia="仿宋_GB2312"/>
                            <w:sz w:val="22"/>
                          </w:rPr>
                          <w:t>IMC4500</w:t>
                        </w:r>
                      </w:p>
                      <w:p>
                        <w:pPr>
                          <w:pStyle w:val="null3"/>
                          <w:jc w:val="center"/>
                        </w:p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兄弟</w:t>
                        </w:r>
                        <w:r>
                          <w:rPr>
                            <w:rFonts w:ascii="仿宋_GB2312" w:hAnsi="仿宋_GB2312" w:cs="仿宋_GB2312" w:eastAsia="仿宋_GB2312"/>
                            <w:sz w:val="22"/>
                          </w:rPr>
                          <w:t>MFC-B7700D</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≥12000万页（A4幅面；5%覆盖率）；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≥12000万页（A4幅面；5%覆盖率）；带芯片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≥2600页（A4幅面；5%覆盖率）；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≥2600页（A4幅面；5%覆盖率）；带芯片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惠普</w:t>
                        </w:r>
                        <w:r>
                          <w:br/>
                        </w:r>
                        <w:r>
                          <w:rPr>
                            <w:rFonts w:ascii="仿宋_GB2312" w:hAnsi="仿宋_GB2312" w:cs="仿宋_GB2312" w:eastAsia="仿宋_GB2312"/>
                            <w:sz w:val="22"/>
                          </w:rPr>
                          <w:t>M128</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惠普</w:t>
                        </w:r>
                        <w:r>
                          <w:br/>
                        </w:r>
                        <w:r>
                          <w:rPr>
                            <w:rFonts w:ascii="仿宋_GB2312" w:hAnsi="仿宋_GB2312" w:cs="仿宋_GB2312" w:eastAsia="仿宋_GB2312"/>
                            <w:sz w:val="22"/>
                          </w:rPr>
                          <w:t>M403d</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≥3000页（A4幅面；5%覆盖率）；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437"/>
                        <w:vMerge/>
                        <w:tcBorders>
                          <w:top w:val="single" w:color="000000" w:sz="4"/>
                          <w:left w:val="single" w:color="000000" w:sz="4"/>
                          <w:bottom w:val="single" w:color="000000" w:sz="4"/>
                          <w:right w:val="single" w:color="000000" w:sz="4"/>
                        </w:tcBorders>
                      </w:tc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vMerge/>
                        <w:tcBorders>
                          <w:top w:val="single" w:color="000000" w:sz="4"/>
                          <w:left w:val="single" w:color="000000" w:sz="4"/>
                          <w:bottom w:val="single" w:color="000000" w:sz="4"/>
                          <w:right w:val="single" w:color="000000" w:sz="4"/>
                        </w:tcBorders>
                      </w:tcP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≥3000页（A4幅面；5%覆盖率）；带芯片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奔图</w:t>
                        </w:r>
                        <w:r>
                          <w:rPr>
                            <w:rFonts w:ascii="仿宋_GB2312" w:hAnsi="仿宋_GB2312" w:cs="仿宋_GB2312" w:eastAsia="仿宋_GB2312"/>
                            <w:sz w:val="22"/>
                          </w:rPr>
                          <w:t>CM7000FDN</w:t>
                        </w: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≥5000页（A4幅面；5%覆盖率）；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≥5000页（A4幅面；5%覆盖率）；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≥5000页（A4幅面；5%覆盖率）；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≥5000页（A4幅面；5%覆盖率）；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≥5000页（A4幅面；5%覆盖率）；带芯片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≥5000页（A4幅面；5%覆盖率）；带芯片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≥5000页（A4幅面；5%覆盖率）；带芯片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≥5000页（A4幅面；5%覆盖率）；带芯片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利盟</w:t>
                        </w:r>
                        <w:r>
                          <w:rPr>
                            <w:rFonts w:ascii="仿宋_GB2312" w:hAnsi="仿宋_GB2312" w:cs="仿宋_GB2312" w:eastAsia="仿宋_GB2312"/>
                            <w:sz w:val="22"/>
                          </w:rPr>
                          <w:t>CS725</w:t>
                        </w:r>
                      </w:p>
                      <w:p>
                        <w:pPr>
                          <w:pStyle w:val="null3"/>
                          <w:jc w:val="center"/>
                        </w:p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≥7000页（A4幅面；5%覆盖率）；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≥7000页（A4幅面；5%覆盖率）；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≥7000页（A4幅面；5%覆盖率）；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≥7000页（A4幅面；5%覆盖率）；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r>
                          <w:rPr>
                            <w:rFonts w:ascii="仿宋_GB2312" w:hAnsi="仿宋_GB2312" w:cs="仿宋_GB2312" w:eastAsia="仿宋_GB2312"/>
                            <w:sz w:val="22"/>
                          </w:rPr>
                          <w:t>8</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≥7000页（A4幅面；5%覆盖率）；带芯片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≥7000页（A4幅面；5%覆盖率）；带芯片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≥7000页（A4幅面；5%覆盖率）；带芯片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≥7000页（A4幅面；5%覆盖率）；带芯片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奔图</w:t>
                        </w:r>
                        <w:r>
                          <w:rPr>
                            <w:rFonts w:ascii="仿宋_GB2312" w:hAnsi="仿宋_GB2312" w:cs="仿宋_GB2312" w:eastAsia="仿宋_GB2312"/>
                            <w:sz w:val="22"/>
                          </w:rPr>
                          <w:t>cm2200fdw</w:t>
                        </w: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74</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76</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77</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79</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京瓷</w:t>
                        </w:r>
                        <w:r>
                          <w:rPr>
                            <w:rFonts w:ascii="仿宋_GB2312" w:hAnsi="仿宋_GB2312" w:cs="仿宋_GB2312" w:eastAsia="仿宋_GB2312"/>
                            <w:sz w:val="22"/>
                            <w:color w:val="000000"/>
                          </w:rPr>
                          <w:t>P5021cdn</w:t>
                        </w:r>
                      </w:p>
                      <w:p>
                        <w:pPr>
                          <w:pStyle w:val="null3"/>
                          <w:jc w:val="center"/>
                        </w:p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81</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82</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83</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84</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87</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惠普</w:t>
                        </w:r>
                        <w:r>
                          <w:rPr>
                            <w:rFonts w:ascii="仿宋_GB2312" w:hAnsi="仿宋_GB2312" w:cs="仿宋_GB2312" w:eastAsia="仿宋_GB2312"/>
                            <w:sz w:val="22"/>
                            <w:color w:val="000000"/>
                          </w:rPr>
                          <w:t>252d</w:t>
                        </w:r>
                      </w:p>
                      <w:p>
                        <w:pPr>
                          <w:pStyle w:val="null3"/>
                          <w:jc w:val="center"/>
                        </w:p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89</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91</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92</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93</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94</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≥1300页（A4幅面；5%覆盖率）；带芯片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96</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利盟</w:t>
                        </w:r>
                        <w:r>
                          <w:rPr>
                            <w:rFonts w:ascii="仿宋_GB2312" w:hAnsi="仿宋_GB2312" w:cs="仿宋_GB2312" w:eastAsia="仿宋_GB2312"/>
                            <w:sz w:val="22"/>
                          </w:rPr>
                          <w:t>cx331</w:t>
                        </w: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≥4500页（A4幅面；5%覆盖率）；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97</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≥4500页（A4幅面；5%覆盖率）；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98</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≥4500页（A4幅面；5%覆盖率）；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99</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≥4500页（A4幅面；5%覆盖率）；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≥4500页（A4幅面；5%覆盖率）；带芯片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101</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≥4500页（A4幅面；5%覆盖率）；带芯片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102</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≥4500页（A4幅面；5%覆盖率）；带芯片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103</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粉盒红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≥4500页（A4幅面；5%覆盖率）；带芯片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104</w:t>
                        </w:r>
                      </w:p>
                    </w:tc>
                    <w:tc>
                      <w:tcPr>
                        <w:tcW w:type="dxa" w:w="4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理光</w:t>
                        </w:r>
                        <w:r>
                          <w:rPr>
                            <w:rFonts w:ascii="仿宋_GB2312" w:hAnsi="仿宋_GB2312" w:cs="仿宋_GB2312" w:eastAsia="仿宋_GB2312"/>
                            <w:sz w:val="22"/>
                            <w:color w:val="000000"/>
                          </w:rPr>
                          <w:t>IMC4500</w:t>
                        </w: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原装</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≥20万页（A4幅面；5%覆盖率）；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105</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≥20万页（A4幅面；5%覆盖率）；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r>
                          <w:rPr>
                            <w:rFonts w:ascii="仿宋_GB2312" w:hAnsi="仿宋_GB2312" w:cs="仿宋_GB2312" w:eastAsia="仿宋_GB2312"/>
                            <w:sz w:val="22"/>
                          </w:rPr>
                          <w:t>6</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≥20万页（A4幅面；5%覆盖率）；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r>
                          <w:rPr>
                            <w:rFonts w:ascii="仿宋_GB2312" w:hAnsi="仿宋_GB2312" w:cs="仿宋_GB2312" w:eastAsia="仿宋_GB2312"/>
                            <w:sz w:val="22"/>
                          </w:rPr>
                          <w:t>7</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≥20万页（A4幅面；5%覆盖率）；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108</w:t>
                        </w:r>
                      </w:p>
                    </w:tc>
                    <w:tc>
                      <w:tcPr>
                        <w:tcW w:type="dxa" w:w="437"/>
                        <w:vMerge/>
                        <w:tcBorders>
                          <w:top w:val="single" w:color="000000" w:sz="4"/>
                          <w:left w:val="single" w:color="000000" w:sz="4"/>
                          <w:bottom w:val="single" w:color="000000" w:sz="4"/>
                          <w:right w:val="single" w:color="000000" w:sz="4"/>
                        </w:tcBorders>
                      </w:tcP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硒鼓黑</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≥20万页（A4幅面；5%覆盖率）；带芯片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109</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硒鼓青</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≥20万页（A4幅面；5%覆盖率）；带芯片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硒鼓黄</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≥20万页（A4幅面；5%覆盖率）；带芯片</w:t>
                        </w:r>
                      </w:p>
                    </w:tc>
                    <w:tc>
                      <w:tcPr>
                        <w:tcW w:type="dxa" w:w="24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r>
                    <w:tc>
                      <w:tcPr>
                        <w:tcW w:type="dxa" w:w="22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111</w:t>
                        </w:r>
                      </w:p>
                    </w:tc>
                    <w:tc>
                      <w:tcPr>
                        <w:tcW w:type="dxa" w:w="437"/>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0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硒鼓红</w:t>
                        </w:r>
                      </w:p>
                    </w:tc>
                    <w:tc>
                      <w:tcPr>
                        <w:tcW w:type="dxa" w:w="94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打印量：</w:t>
                        </w:r>
                        <w:r>
                          <w:rPr>
                            <w:rFonts w:ascii="仿宋_GB2312" w:hAnsi="仿宋_GB2312" w:cs="仿宋_GB2312" w:eastAsia="仿宋_GB2312"/>
                            <w:sz w:val="22"/>
                          </w:rPr>
                          <w:t>≥20万页（A4幅面；5%覆盖率）；带芯片</w:t>
                        </w:r>
                      </w:p>
                    </w:tc>
                    <w:tc>
                      <w:tcPr>
                        <w:tcW w:type="dxa" w:w="249"/>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个</w:t>
                        </w:r>
                      </w:p>
                    </w:tc>
                  </w:tr>
                </w:tbl>
                <w:p>
                  <w:pPr>
                    <w:pStyle w:val="null3"/>
                    <w:jc w:val="both"/>
                  </w:pPr>
                </w:p>
              </w:tc>
            </w:tr>
          </w:tbl>
          <w:p>
            <w:pPr>
              <w:pStyle w:val="null3"/>
              <w:numPr>
                <w:ilvl w:val="0"/>
                <w:numId w:val="1"/>
              </w:numPr>
              <w:jc w:val="both"/>
            </w:pPr>
            <w:r>
              <w:rPr>
                <w:rFonts w:ascii="仿宋_GB2312" w:hAnsi="仿宋_GB2312" w:cs="仿宋_GB2312" w:eastAsia="仿宋_GB2312"/>
                <w:sz w:val="28"/>
              </w:rPr>
              <w:t>商务要求</w:t>
            </w:r>
          </w:p>
          <w:p>
            <w:pPr>
              <w:pStyle w:val="null3"/>
              <w:jc w:val="left"/>
            </w:pPr>
            <w:r>
              <w:rPr>
                <w:rFonts w:ascii="仿宋_GB2312" w:hAnsi="仿宋_GB2312" w:cs="仿宋_GB2312" w:eastAsia="仿宋_GB2312"/>
                <w:sz w:val="24"/>
                <w:color w:val="333333"/>
                <w:shd w:fill="FDFEFE" w:val="clear"/>
              </w:rPr>
              <w:t>（一）相关技术及质量保证：</w:t>
            </w:r>
          </w:p>
          <w:p>
            <w:pPr>
              <w:pStyle w:val="null3"/>
              <w:ind w:firstLine="480"/>
              <w:jc w:val="left"/>
            </w:pPr>
            <w:r>
              <w:rPr>
                <w:rFonts w:ascii="仿宋_GB2312" w:hAnsi="仿宋_GB2312" w:cs="仿宋_GB2312" w:eastAsia="仿宋_GB2312"/>
                <w:sz w:val="24"/>
                <w:color w:val="333333"/>
                <w:shd w:fill="FDFEFE" w:val="clear"/>
              </w:rPr>
              <w:t>1、供应商提供的办公耗材必须为合法销售、渠道正规、原厂原装、全新正品，符合国家质量检测标准合格的产品。</w:t>
            </w:r>
          </w:p>
          <w:p>
            <w:pPr>
              <w:pStyle w:val="null3"/>
              <w:ind w:firstLine="480"/>
              <w:jc w:val="left"/>
            </w:pPr>
            <w:r>
              <w:rPr>
                <w:rFonts w:ascii="仿宋_GB2312" w:hAnsi="仿宋_GB2312" w:cs="仿宋_GB2312" w:eastAsia="仿宋_GB2312"/>
                <w:sz w:val="24"/>
                <w:color w:val="333333"/>
                <w:shd w:fill="FDFEFE" w:val="clear"/>
              </w:rPr>
              <w:t>2、供应商所提供的办公耗材若技术性能无特殊说明，则按生产企业或国家有关部门最新颁布的标准及规范为准。</w:t>
            </w:r>
          </w:p>
          <w:p>
            <w:pPr>
              <w:pStyle w:val="null3"/>
              <w:ind w:firstLine="480"/>
              <w:jc w:val="left"/>
            </w:pPr>
            <w:r>
              <w:rPr>
                <w:rFonts w:ascii="仿宋_GB2312" w:hAnsi="仿宋_GB2312" w:cs="仿宋_GB2312" w:eastAsia="仿宋_GB2312"/>
                <w:sz w:val="24"/>
                <w:color w:val="333333"/>
                <w:shd w:fill="FDFEFE" w:val="clear"/>
              </w:rPr>
              <w:t>3、供应商应保证办公耗材是全新、未使用过的合格原装正品，并完全符合生产企业过国家规定的质量、规格和性能要求。供应商应保证其提供的办公耗材在正确的安装、使用和保养条件下，在其使用寿命内具有良好的性能。</w:t>
            </w:r>
          </w:p>
          <w:p>
            <w:pPr>
              <w:pStyle w:val="null3"/>
              <w:ind w:firstLine="480"/>
              <w:jc w:val="left"/>
            </w:pPr>
            <w:r>
              <w:rPr>
                <w:rFonts w:ascii="仿宋_GB2312" w:hAnsi="仿宋_GB2312" w:cs="仿宋_GB2312" w:eastAsia="仿宋_GB2312"/>
                <w:sz w:val="24"/>
                <w:color w:val="333333"/>
                <w:shd w:fill="FDFEFE" w:val="clear"/>
              </w:rPr>
              <w:t>4、办公耗材签收后，在质量保证期内，供应商应对由于设计、工艺或材料的缺陷所发生的任何不足或问题负责，所需费用由供应商承担。</w:t>
            </w:r>
          </w:p>
          <w:p>
            <w:pPr>
              <w:pStyle w:val="null3"/>
              <w:ind w:firstLine="480"/>
              <w:jc w:val="left"/>
            </w:pPr>
            <w:r>
              <w:rPr>
                <w:rFonts w:ascii="仿宋_GB2312" w:hAnsi="仿宋_GB2312" w:cs="仿宋_GB2312" w:eastAsia="仿宋_GB2312"/>
                <w:sz w:val="24"/>
                <w:color w:val="333333"/>
                <w:shd w:fill="FDFEFE" w:val="clear"/>
              </w:rPr>
              <w:t>5、供应商提供伪劣假冒商品或非合格全新正品的，供应商应无条件更换为全新合格产品。</w:t>
            </w:r>
          </w:p>
          <w:p>
            <w:pPr>
              <w:pStyle w:val="null3"/>
              <w:ind w:firstLine="480"/>
              <w:jc w:val="left"/>
            </w:pPr>
            <w:r>
              <w:rPr>
                <w:rFonts w:ascii="仿宋_GB2312" w:hAnsi="仿宋_GB2312" w:cs="仿宋_GB2312" w:eastAsia="仿宋_GB2312"/>
                <w:sz w:val="24"/>
                <w:color w:val="333333"/>
                <w:shd w:fill="FDFEFE" w:val="clear"/>
              </w:rPr>
              <w:t>6、供应商须提供1年质保服务。</w:t>
            </w:r>
          </w:p>
          <w:p>
            <w:pPr>
              <w:pStyle w:val="null3"/>
              <w:ind w:firstLine="480"/>
              <w:jc w:val="left"/>
            </w:pPr>
            <w:r>
              <w:rPr>
                <w:rFonts w:ascii="仿宋_GB2312" w:hAnsi="仿宋_GB2312" w:cs="仿宋_GB2312" w:eastAsia="仿宋_GB2312"/>
                <w:sz w:val="24"/>
                <w:color w:val="333333"/>
                <w:shd w:fill="FDFEFE" w:val="clear"/>
              </w:rPr>
              <w:t>7、在质保期内发生质量问题的产品，供应商须在接到通知后48小时以内进行更换或退换，确保所提供的产品合格率达到100%，并对造成的损失承担赔偿责任。供货商必须制订安全、有效的特殊情况应急预案，以确保产品的供给。</w:t>
            </w:r>
          </w:p>
          <w:p>
            <w:pPr>
              <w:pStyle w:val="null3"/>
              <w:ind w:firstLine="480"/>
              <w:jc w:val="left"/>
            </w:pPr>
            <w:r>
              <w:rPr>
                <w:rFonts w:ascii="仿宋_GB2312" w:hAnsi="仿宋_GB2312" w:cs="仿宋_GB2312" w:eastAsia="仿宋_GB2312"/>
                <w:sz w:val="24"/>
                <w:color w:val="333333"/>
                <w:shd w:fill="FDFEFE" w:val="clear"/>
              </w:rPr>
              <w:t>8、供应商提供的商品在一月内接到使用方投诉三次，采购方有权让供应商更换为更优质的产品替代，且单价不变。</w:t>
            </w:r>
          </w:p>
          <w:p>
            <w:pPr>
              <w:pStyle w:val="null3"/>
              <w:ind w:firstLine="240"/>
              <w:jc w:val="left"/>
            </w:pPr>
            <w:r>
              <w:rPr>
                <w:rFonts w:ascii="仿宋_GB2312" w:hAnsi="仿宋_GB2312" w:cs="仿宋_GB2312" w:eastAsia="仿宋_GB2312"/>
                <w:sz w:val="24"/>
                <w:color w:val="333333"/>
                <w:shd w:fill="FDFEFE" w:val="clear"/>
              </w:rPr>
              <w:t>（二）项目服务方式：</w:t>
            </w:r>
          </w:p>
          <w:p>
            <w:pPr>
              <w:pStyle w:val="null3"/>
              <w:ind w:firstLine="240"/>
              <w:jc w:val="left"/>
            </w:pPr>
            <w:r>
              <w:rPr>
                <w:rFonts w:ascii="仿宋_GB2312" w:hAnsi="仿宋_GB2312" w:cs="仿宋_GB2312" w:eastAsia="仿宋_GB2312"/>
                <w:sz w:val="24"/>
                <w:color w:val="333333"/>
                <w:shd w:fill="FDFEFE" w:val="clear"/>
              </w:rPr>
              <w:t>1、供应商供货的产品生产日期必须是采购人下定单之日前六个月内生产的产品。</w:t>
            </w:r>
          </w:p>
          <w:p>
            <w:pPr>
              <w:pStyle w:val="null3"/>
              <w:ind w:firstLine="240"/>
              <w:jc w:val="left"/>
            </w:pPr>
            <w:r>
              <w:rPr>
                <w:rFonts w:ascii="仿宋_GB2312" w:hAnsi="仿宋_GB2312" w:cs="仿宋_GB2312" w:eastAsia="仿宋_GB2312"/>
                <w:sz w:val="24"/>
                <w:color w:val="333333"/>
                <w:shd w:fill="FDFEFE" w:val="clear"/>
              </w:rPr>
              <w:t>2、由于政府机关涉及7×24小时值班系统，重要级别很高：故本次招标要求投标人配备驻点负责人1名负责打印耗材的更换及打印设备维护，要求驻点负责人具有专科及以上学历：具有3年以上IT行业工作经验。投标人必须派遣驻点人员按政府作息时间上下班，节假日要值班。晚间要电话值班保障收发文的需求。要定期巡查所有设备保证所有设备的使用完好率达到99%以上。当打印机设备出现故障时要及时处理，驻点维护人员有热练的现场故障处理能力，将故障处理时间控制在30分钟内。不能现场处理的故障机器要及时用备用机器（备用机器由投标人提供）替换，并保证在承诺的时间内修复故障设备。</w:t>
            </w:r>
          </w:p>
          <w:p>
            <w:pPr>
              <w:pStyle w:val="null3"/>
              <w:ind w:right="-105" w:firstLine="240"/>
              <w:jc w:val="both"/>
            </w:pPr>
            <w:r>
              <w:rPr>
                <w:rFonts w:ascii="仿宋_GB2312" w:hAnsi="仿宋_GB2312" w:cs="仿宋_GB2312" w:eastAsia="仿宋_GB2312"/>
                <w:sz w:val="24"/>
                <w:color w:val="333333"/>
                <w:shd w:fill="FDFEFE" w:val="clear"/>
              </w:rPr>
              <w:t>3、若采购人有一些目前在用的机器因报废不再使用时，供应商必须承诺可将采购人已要求送货的、对应型号的产品更换成同等价格的其它品牌型号的产品，不得拒绝更换。</w:t>
            </w:r>
          </w:p>
          <w:p>
            <w:pPr>
              <w:pStyle w:val="null3"/>
              <w:ind w:firstLine="264"/>
              <w:jc w:val="both"/>
            </w:pPr>
            <w:r>
              <w:rPr>
                <w:rFonts w:ascii="仿宋_GB2312" w:hAnsi="仿宋_GB2312" w:cs="仿宋_GB2312" w:eastAsia="仿宋_GB2312"/>
                <w:sz w:val="24"/>
                <w:color w:val="333333"/>
                <w:shd w:fill="FDFEFE" w:val="clear"/>
              </w:rPr>
              <w:t>（三）款项结算：</w:t>
            </w:r>
          </w:p>
          <w:p>
            <w:pPr>
              <w:pStyle w:val="null3"/>
              <w:ind w:firstLine="528"/>
              <w:jc w:val="both"/>
            </w:pPr>
            <w:r>
              <w:rPr>
                <w:rFonts w:ascii="仿宋_GB2312" w:hAnsi="仿宋_GB2312" w:cs="仿宋_GB2312" w:eastAsia="仿宋_GB2312"/>
                <w:sz w:val="24"/>
                <w:color w:val="333333"/>
                <w:shd w:fill="FDFEFE" w:val="clear"/>
              </w:rPr>
              <w:t>3.1付款方式：根据实际供货量据实结算。</w:t>
            </w:r>
          </w:p>
          <w:p>
            <w:pPr>
              <w:pStyle w:val="null3"/>
              <w:ind w:firstLine="528"/>
              <w:jc w:val="both"/>
            </w:pPr>
            <w:r>
              <w:rPr>
                <w:rFonts w:ascii="仿宋_GB2312" w:hAnsi="仿宋_GB2312" w:cs="仿宋_GB2312" w:eastAsia="仿宋_GB2312"/>
                <w:sz w:val="24"/>
                <w:color w:val="333333"/>
                <w:shd w:fill="FDFEFE" w:val="clear"/>
              </w:rPr>
              <w:t>3.2结算方式：乙方持验收合格单，全额合规发票（按合同总价值开票给甲方），中标通知书、合同，与甲方结算。</w:t>
            </w:r>
          </w:p>
          <w:p>
            <w:pPr>
              <w:pStyle w:val="null3"/>
              <w:ind w:firstLine="528"/>
              <w:jc w:val="both"/>
            </w:pPr>
            <w:r>
              <w:rPr>
                <w:rFonts w:ascii="仿宋_GB2312" w:hAnsi="仿宋_GB2312" w:cs="仿宋_GB2312" w:eastAsia="仿宋_GB2312"/>
                <w:sz w:val="24"/>
                <w:color w:val="333333"/>
                <w:shd w:fill="FDFEFE" w:val="clear"/>
              </w:rPr>
              <w:t>3.3支付方式：银行转帐。</w:t>
            </w:r>
          </w:p>
          <w:p>
            <w:pPr>
              <w:pStyle w:val="null3"/>
              <w:ind w:firstLine="240"/>
              <w:jc w:val="left"/>
            </w:pPr>
            <w:r>
              <w:rPr>
                <w:rFonts w:ascii="仿宋_GB2312" w:hAnsi="仿宋_GB2312" w:cs="仿宋_GB2312" w:eastAsia="仿宋_GB2312"/>
                <w:sz w:val="24"/>
                <w:color w:val="333333"/>
                <w:shd w:fill="FDFEFE" w:val="clear"/>
              </w:rPr>
              <w:t>（四）服务期、供货期和交货地点：</w:t>
            </w:r>
          </w:p>
          <w:p>
            <w:pPr>
              <w:pStyle w:val="null3"/>
              <w:ind w:firstLine="480"/>
              <w:jc w:val="left"/>
            </w:pPr>
            <w:r>
              <w:rPr>
                <w:rFonts w:ascii="仿宋_GB2312" w:hAnsi="仿宋_GB2312" w:cs="仿宋_GB2312" w:eastAsia="仿宋_GB2312"/>
                <w:sz w:val="24"/>
                <w:color w:val="333333"/>
                <w:shd w:fill="FDFEFE" w:val="clear"/>
              </w:rPr>
              <w:t>4.1服务期：自合同签订之日起一年。</w:t>
            </w:r>
          </w:p>
          <w:p>
            <w:pPr>
              <w:pStyle w:val="null3"/>
              <w:ind w:firstLine="480"/>
              <w:jc w:val="left"/>
            </w:pPr>
            <w:r>
              <w:rPr>
                <w:rFonts w:ascii="仿宋_GB2312" w:hAnsi="仿宋_GB2312" w:cs="仿宋_GB2312" w:eastAsia="仿宋_GB2312"/>
                <w:sz w:val="24"/>
                <w:color w:val="333333"/>
                <w:shd w:fill="FDFEFE" w:val="clear"/>
              </w:rPr>
              <w:t>4.2供货期：按照采购人要求，接到采购人订单后1个日历日完成供货。</w:t>
            </w:r>
          </w:p>
          <w:p>
            <w:pPr>
              <w:pStyle w:val="null3"/>
              <w:jc w:val="both"/>
            </w:pPr>
            <w:r>
              <w:rPr>
                <w:rFonts w:ascii="仿宋_GB2312" w:hAnsi="仿宋_GB2312" w:cs="仿宋_GB2312" w:eastAsia="仿宋_GB2312"/>
                <w:sz w:val="24"/>
                <w:color w:val="333333"/>
                <w:shd w:fill="FDFEFE" w:val="clear"/>
              </w:rPr>
              <w:t>4.3交货地点：采购人指定地点。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根据实际供货量据实结算,乙方持验收合格单，全额合规发票（按合同总价值开甲方），中标通知书、合同，与甲方结算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国家相应的标准和规范，质保期一年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双方在履行合同过程中，若发生争议，可以协商解决。如协商未果，双方向甲方所在地人民法院提起诉讼。乙方如果没有按照本合同约定履行合同，甲方有权终止合同。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本项目报价方式为单价之和，供应商填写报价时应为单价之和。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 量表》《所有者权益变动表》及其附注；成立时间至提交谈判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分项报价表.docx 商务应答表 供货方案.docx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符合法律、法规和竞争性谈判中规定的其他实质性要求</w:t>
            </w:r>
          </w:p>
        </w:tc>
        <w:tc>
          <w:tcPr>
            <w:tcW w:type="dxa" w:w="3322"/>
          </w:tcPr>
          <w:p>
            <w:pPr>
              <w:pStyle w:val="null3"/>
            </w:pPr>
            <w:r>
              <w:rPr>
                <w:rFonts w:ascii="仿宋_GB2312" w:hAnsi="仿宋_GB2312" w:cs="仿宋_GB2312" w:eastAsia="仿宋_GB2312"/>
              </w:rPr>
              <w:t>是否符合法律、法规和竞争性谈判文件中规定的其他实质性要求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