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版本号：2025-HXCT-085.1B120250812001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航天中学新优质软件提升项目(二次)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2025-HXCT-085.1B1</w:t>
      </w:r>
      <w:r>
        <w:br/>
      </w:r>
      <w:r>
        <w:br/>
      </w:r>
      <w:r>
        <w:br/>
      </w:r>
    </w:p>
    <w:p>
      <w:pPr>
        <w:pStyle w:val="null3"/>
        <w:jc w:val="center"/>
        <w:outlineLvl w:val="2"/>
      </w:pPr>
      <w:r>
        <w:rPr>
          <w:rFonts w:ascii="仿宋_GB2312" w:hAnsi="仿宋_GB2312" w:cs="仿宋_GB2312" w:eastAsia="仿宋_GB2312"/>
          <w:sz w:val="28"/>
          <w:b/>
        </w:rPr>
        <w:t>西安市航天中学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西安市航天中学</w:t>
      </w:r>
      <w:r>
        <w:rPr>
          <w:rFonts w:ascii="仿宋_GB2312" w:hAnsi="仿宋_GB2312" w:cs="仿宋_GB2312" w:eastAsia="仿宋_GB2312"/>
        </w:rPr>
        <w:t>委托，拟对</w:t>
      </w:r>
      <w:r>
        <w:rPr>
          <w:rFonts w:ascii="仿宋_GB2312" w:hAnsi="仿宋_GB2312" w:cs="仿宋_GB2312" w:eastAsia="仿宋_GB2312"/>
        </w:rPr>
        <w:t>航天中学新优质软件提升项目(二次)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2025-HXCT-085.1B1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航天中学新优质软件提升项目(二次)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航天中学新优质软件提升项目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采购包1（西安市航天中学新优质软件提升项目）：属于专门面向中小企业采购。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陕西省西安市国家民用产业基地凤栖东路258号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13201780511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代理服务费收费标准：1、根据《国家发展改革委关于进一步放开建设项目专业服务价格的通知 》(发改价格[2015]299号)的有关规定执行。 代理费缴存账户：开户名称：华夏城投项目管理有限公司 开户银行：招商银行股份有限公司西安城北支行 账号：129914077110901 备注：项目名称代理服务费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西安市航天中学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联系电话：13201780511</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西安市航天中学新优质软件提升项目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西安市航天中学新优质软件提升项目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标的名称：西安市航天中学新优质软件提升项目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4"/>
              <w:gridCol w:w="191"/>
              <w:gridCol w:w="1194"/>
              <w:gridCol w:w="324"/>
              <w:gridCol w:w="737"/>
            </w:tblGrid>
            <w:tr>
              <w:tc>
                <w:tcPr>
                  <w:tcW w:type="dxa" w:w="104"/>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191"/>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模块</w:t>
                  </w:r>
                </w:p>
              </w:tc>
              <w:tc>
                <w:tcPr>
                  <w:tcW w:type="dxa" w:w="1194"/>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主要目标</w:t>
                  </w:r>
                </w:p>
              </w:tc>
              <w:tc>
                <w:tcPr>
                  <w:tcW w:type="dxa" w:w="324"/>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形式</w:t>
                  </w:r>
                </w:p>
              </w:tc>
              <w:tc>
                <w:tcPr>
                  <w:tcW w:type="dxa" w:w="737"/>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要求</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教师能力提升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1、学习先进的教学方法和策略，促进教师间的交流和优化教学方法、策略，全面提升教师的专业素养、教学能力和职业发展水平，促进教师专业成长，鼓励教师树立终身学习的理念，不断追求专业成长和进步。</w:t>
                  </w:r>
                  <w:r>
                    <w:br/>
                  </w:r>
                  <w:r>
                    <w:rPr>
                      <w:rFonts w:ascii="仿宋_GB2312" w:hAnsi="仿宋_GB2312" w:cs="仿宋_GB2312" w:eastAsia="仿宋_GB2312"/>
                      <w:sz w:val="28"/>
                      <w:color w:val="000000"/>
                    </w:rPr>
                    <w:t xml:space="preserve"> 2、帮助教师更好地适应课程改革带来的教育教学变化，培养在新高考模式下，具备指导学生科学选科和学业规划能力的教师队伍，提升教师对学生生涯规划指导能力，心理辅导能力，打造学校的教育特色。</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主题培训、参观交流、比赛评比、团辅活动、研讨会等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专项讲座/培训类不少于15人次</w:t>
                  </w:r>
                  <w:r>
                    <w:br/>
                  </w:r>
                  <w:r>
                    <w:rPr>
                      <w:rFonts w:ascii="仿宋_GB2312" w:hAnsi="仿宋_GB2312" w:cs="仿宋_GB2312" w:eastAsia="仿宋_GB2312"/>
                      <w:sz w:val="28"/>
                      <w:color w:val="000000"/>
                    </w:rPr>
                    <w:t xml:space="preserve"> 外出学习类不少于10人次</w:t>
                  </w:r>
                  <w:r>
                    <w:br/>
                  </w:r>
                  <w:r>
                    <w:rPr>
                      <w:rFonts w:ascii="仿宋_GB2312" w:hAnsi="仿宋_GB2312" w:cs="仿宋_GB2312" w:eastAsia="仿宋_GB2312"/>
                      <w:sz w:val="28"/>
                      <w:color w:val="000000"/>
                    </w:rPr>
                    <w:t xml:space="preserve"> 比赛活动类不少于2场</w:t>
                  </w:r>
                  <w:r>
                    <w:br/>
                  </w:r>
                  <w:r>
                    <w:rPr>
                      <w:rFonts w:ascii="仿宋_GB2312" w:hAnsi="仿宋_GB2312" w:cs="仿宋_GB2312" w:eastAsia="仿宋_GB2312"/>
                      <w:sz w:val="28"/>
                      <w:color w:val="000000"/>
                    </w:rPr>
                    <w:t xml:space="preserve"> 其他类型及频次可由投标单位建议附加</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学生素养提升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1、全面培养学生的综合素质，拓宽视野和学习经历，培养公民意识和社会责任感，培养创新意识，形成正确的价值观。</w:t>
                  </w:r>
                  <w:r>
                    <w:br/>
                  </w:r>
                  <w:r>
                    <w:rPr>
                      <w:rFonts w:ascii="仿宋_GB2312" w:hAnsi="仿宋_GB2312" w:cs="仿宋_GB2312" w:eastAsia="仿宋_GB2312"/>
                      <w:sz w:val="28"/>
                      <w:color w:val="000000"/>
                    </w:rPr>
                    <w:t xml:space="preserve"> 2、促进学生全面发展和多元、个性发展的目标，构建完善的学生培养体系和评价体系。让学校成为富有人文底蕴、艺术气息、运动活力和科学精神的和谐校园，促进学生全面、健康、和谐发展。</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主题培训、团辅活动、主题节日、兴趣课堂等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测评类不少于1次（入校全部新生）</w:t>
                  </w:r>
                  <w:r>
                    <w:br/>
                  </w:r>
                  <w:r>
                    <w:rPr>
                      <w:rFonts w:ascii="仿宋_GB2312" w:hAnsi="仿宋_GB2312" w:cs="仿宋_GB2312" w:eastAsia="仿宋_GB2312"/>
                      <w:sz w:val="28"/>
                      <w:color w:val="000000"/>
                    </w:rPr>
                    <w:t xml:space="preserve"> 社会实践活动类不少于2场</w:t>
                  </w:r>
                  <w:r>
                    <w:br/>
                  </w:r>
                  <w:r>
                    <w:rPr>
                      <w:rFonts w:ascii="仿宋_GB2312" w:hAnsi="仿宋_GB2312" w:cs="仿宋_GB2312" w:eastAsia="仿宋_GB2312"/>
                      <w:sz w:val="28"/>
                      <w:color w:val="000000"/>
                    </w:rPr>
                    <w:t xml:space="preserve"> 校内生涯活动类不少于5场</w:t>
                  </w:r>
                  <w:r>
                    <w:br/>
                  </w:r>
                  <w:r>
                    <w:rPr>
                      <w:rFonts w:ascii="仿宋_GB2312" w:hAnsi="仿宋_GB2312" w:cs="仿宋_GB2312" w:eastAsia="仿宋_GB2312"/>
                      <w:sz w:val="28"/>
                      <w:color w:val="000000"/>
                    </w:rPr>
                    <w:t xml:space="preserve"> 讲座类不少于5场</w:t>
                  </w:r>
                  <w:r>
                    <w:br/>
                  </w:r>
                  <w:r>
                    <w:rPr>
                      <w:rFonts w:ascii="仿宋_GB2312" w:hAnsi="仿宋_GB2312" w:cs="仿宋_GB2312" w:eastAsia="仿宋_GB2312"/>
                      <w:sz w:val="28"/>
                      <w:color w:val="000000"/>
                    </w:rPr>
                    <w:t xml:space="preserve"> 心理团辅活动不少于2场</w:t>
                  </w:r>
                  <w:r>
                    <w:br/>
                  </w:r>
                  <w:r>
                    <w:rPr>
                      <w:rFonts w:ascii="仿宋_GB2312" w:hAnsi="仿宋_GB2312" w:cs="仿宋_GB2312" w:eastAsia="仿宋_GB2312"/>
                      <w:sz w:val="28"/>
                      <w:color w:val="000000"/>
                    </w:rPr>
                    <w:t xml:space="preserve"> 其他类型及频次可由投标单位建议附加</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家校共育提升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1、提高家长的教育水平，为孩子提供更加和谐、有利于成长的家庭教育环境。</w:t>
                  </w:r>
                  <w:r>
                    <w:br/>
                  </w:r>
                  <w:r>
                    <w:rPr>
                      <w:rFonts w:ascii="仿宋_GB2312" w:hAnsi="仿宋_GB2312" w:cs="仿宋_GB2312" w:eastAsia="仿宋_GB2312"/>
                      <w:sz w:val="28"/>
                      <w:color w:val="000000"/>
                    </w:rPr>
                    <w:t xml:space="preserve"> 2、建立良好的家校沟通机制，加强学校与家长之间的信息交流和互动，了解学校的教育理念、课程设置和教学方法，增加强家校合作与沟通。</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主题培训、家长开放日等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家长讲座类不少于3场</w:t>
                  </w:r>
                  <w:r>
                    <w:br/>
                  </w:r>
                  <w:r>
                    <w:rPr>
                      <w:rFonts w:ascii="仿宋_GB2312" w:hAnsi="仿宋_GB2312" w:cs="仿宋_GB2312" w:eastAsia="仿宋_GB2312"/>
                      <w:sz w:val="28"/>
                      <w:color w:val="000000"/>
                    </w:rPr>
                    <w:t xml:space="preserve"> 开放日活动不少于2场</w:t>
                  </w:r>
                  <w:r>
                    <w:br/>
                  </w:r>
                  <w:r>
                    <w:rPr>
                      <w:rFonts w:ascii="仿宋_GB2312" w:hAnsi="仿宋_GB2312" w:cs="仿宋_GB2312" w:eastAsia="仿宋_GB2312"/>
                      <w:sz w:val="28"/>
                      <w:color w:val="000000"/>
                    </w:rPr>
                    <w:t xml:space="preserve"> 其他类型及频次可由投标单位建议附加</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校园宣传提升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1、让师生了解学校的发展方向和目标，增强师生对学校的认同感和归属感，形成共同奋斗的动力，促进学校各项工作的顺利开展。</w:t>
                  </w:r>
                  <w:r>
                    <w:br/>
                  </w:r>
                  <w:r>
                    <w:rPr>
                      <w:rFonts w:ascii="仿宋_GB2312" w:hAnsi="仿宋_GB2312" w:cs="仿宋_GB2312" w:eastAsia="仿宋_GB2312"/>
                      <w:sz w:val="28"/>
                      <w:color w:val="000000"/>
                    </w:rPr>
                    <w:t xml:space="preserve"> 2、向家长、社会公众展示学校的办学成果、师资力量、校园环境、特色课程等，让外界了解学校的实力和优势，提高学校在社会上的知名度和美誉度，树立良好的学校形象。</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宣传片、宣传栏、活动简报、教学成果文集等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宣传片不少于1部</w:t>
                  </w:r>
                  <w:r>
                    <w:br/>
                  </w:r>
                  <w:r>
                    <w:rPr>
                      <w:rFonts w:ascii="仿宋_GB2312" w:hAnsi="仿宋_GB2312" w:cs="仿宋_GB2312" w:eastAsia="仿宋_GB2312"/>
                      <w:sz w:val="28"/>
                      <w:color w:val="000000"/>
                    </w:rPr>
                    <w:t xml:space="preserve"> 宣传栏、简报等展示面积不少于30平米</w:t>
                  </w:r>
                  <w:r>
                    <w:br/>
                  </w:r>
                  <w:r>
                    <w:rPr>
                      <w:rFonts w:ascii="仿宋_GB2312" w:hAnsi="仿宋_GB2312" w:cs="仿宋_GB2312" w:eastAsia="仿宋_GB2312"/>
                      <w:sz w:val="28"/>
                      <w:color w:val="000000"/>
                    </w:rPr>
                    <w:t xml:space="preserve"> 其他类型及频次可由投标单位建议附加</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截止2026年7月5日完成所有服务内容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截止2026年7月5日完成所有服务内容；2、服务地点：采购人指定地点；3、付款方式：完成所有服务内容后，一次性支付所有款项；4、服务要求：4.1供应商负责整合资源，组织专家团队、安排课程、组织经验交流、现场教学等研修工作； 4.2负责做好培训跟时管理，与校方做好配合，确保各项工作顺利实施。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根据供应商对本项目背景、项目内容、项目目标、思路等理解程度进行评审。对本项目背景和工作目标熟悉、了解全面到位得8分；了解和熟悉情况较好4分；了解、熟悉情况一般得2分，未提供不得分。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根据供应商提供的整体服务方案进行评审。方案完整详细、科学合理、可操作性强得10分；方案较为详细合理，内容基本完整、基本可行得6分；方案内容不清晰，内容不完整，可行性差得3分，未提供不得分。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课程及培训内容</w:t>
            </w:r>
          </w:p>
        </w:tc>
        <w:tc>
          <w:tcPr>
            <w:tcW w:type="dxa" w:w="2492"/>
          </w:tcPr>
          <w:p>
            <w:pPr>
              <w:pStyle w:val="null3"/>
            </w:pPr>
            <w:r>
              <w:rPr>
                <w:rFonts w:ascii="仿宋_GB2312" w:hAnsi="仿宋_GB2312" w:cs="仿宋_GB2312" w:eastAsia="仿宋_GB2312"/>
              </w:rPr>
              <w:t>根据供应商提供的课程内容及培训计划（包括但不限于内容设计、专题等）进行评审。课程内容及培训计划完整科学，且内容详实全面，针对性强，符合项目实际及需求，得10分； 课程内容及培训计划较完整、基本符合项目需求，针对性一般，得6分； 课程内容及培训计划不完整、针对性较差得3分，未提供不得分。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项目的实施进度计划</w:t>
            </w:r>
          </w:p>
        </w:tc>
        <w:tc>
          <w:tcPr>
            <w:tcW w:type="dxa" w:w="2492"/>
          </w:tcPr>
          <w:p>
            <w:pPr>
              <w:pStyle w:val="null3"/>
            </w:pPr>
            <w:r>
              <w:rPr>
                <w:rFonts w:ascii="仿宋_GB2312" w:hAnsi="仿宋_GB2312" w:cs="仿宋_GB2312" w:eastAsia="仿宋_GB2312"/>
              </w:rPr>
              <w:t>供应商针对本次培训制定各阶段时间节点安排、工作内容安排等进度计划方案和各阶段的实施计划。进度计划、时间节点及工作内容等安排详细合理，有细化措施等内容得10分；进度计划、时间节点及工作内容安排较详细，措施内容基本可行得6分；进度计划、时间节点及工作内容安排粗略，措施内容粗略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项目人员团队</w:t>
            </w:r>
          </w:p>
        </w:tc>
        <w:tc>
          <w:tcPr>
            <w:tcW w:type="dxa" w:w="2492"/>
          </w:tcPr>
          <w:p>
            <w:pPr>
              <w:pStyle w:val="null3"/>
            </w:pPr>
            <w:r>
              <w:rPr>
                <w:rFonts w:ascii="仿宋_GB2312" w:hAnsi="仿宋_GB2312" w:cs="仿宋_GB2312" w:eastAsia="仿宋_GB2312"/>
              </w:rPr>
              <w:t>根据供应商针对培训任务配备相关专业团队情况（项目团队的实力和简介，包括但不限于人员学历、授课专题、同类项目工作经验等）进行评审。 团队配备完整合理，从业经历及同类项目实施或工作经验丰富得10分； 团队配备较合理，从业经历及同类项目工作经验较丰富得6分； 团队配备合理性及技术实力较差，得3分，未提供不得分。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根据供应商提供的服务质量保证措施进行评审。 措施完整详细、明确具体得8分； 措施较完整、较明确、较具体得5分； 措施不完整或者不详细不具体得2分，未提供不得分。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供应商提供针对本次培训组织管理安排（包括但不限于学员考核制度、考勤、结业安排等）。培训组织管理安排实施方案详细具体，科学合理得10分； 培训组织管理安排实施方案较详细，组织管理基本合理得6分；培训组织管理实施方案、管理安排差得3分，未提供不得分。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根据供应商针对本项目服务内容和要求提供的服务承诺进行评审。 方案及承诺详细完整，合理可行得7分； 方案及承诺较完整、较合理、较可行得4分； 方案不完整、合理性较差得2分，未提供不得分。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根据供应商针对本项目提供的项目实施过程中的应急预案（包括但不限于安全、人员聚集等）进行评审。 应急预案完备健全，科学合理、可行性强得7分； 应急预案较为完备，方案具有一定合理性、基本可行得4分；应急预案完备程度一般，方案合理性一般、可行性低得2分，未提供不得分。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供应商自2022年07月01日至今（以合同签订日期为准）具有类似项目业绩（以合同复印件为准），每个有效业绩得2分，最高得10分。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价格分统一采用低价优先法计算，即满足磋商文件要求且响应价格最低的磋商报价为评标基准价，其价格分为满分。其他供应商价格分统一按照下列公式计算：磋商报价得分=(评标基准价／磋商报价)×10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