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06168">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
          <w:kern w:val="2"/>
          <w:sz w:val="32"/>
          <w:szCs w:val="32"/>
          <w:lang w:val="en-US" w:eastAsia="zh-CN" w:bidi="ar-SA"/>
        </w:rPr>
      </w:pPr>
      <w:r>
        <w:rPr>
          <w:rFonts w:hint="eastAsia" w:ascii="仿宋" w:hAnsi="仿宋" w:eastAsia="仿宋" w:cs="Times New Roman"/>
          <w:b/>
          <w:kern w:val="2"/>
          <w:sz w:val="32"/>
          <w:szCs w:val="32"/>
          <w:lang w:val="en-US" w:eastAsia="zh-CN" w:bidi="ar-SA"/>
        </w:rPr>
        <w:t>雁塔区2025年老旧小区庭院围墙内雨污水管网更新改造</w:t>
      </w:r>
    </w:p>
    <w:p w14:paraId="778E7AFC">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pPr>
      <w:r>
        <w:rPr>
          <w:rFonts w:hint="eastAsia" w:ascii="仿宋" w:hAnsi="仿宋" w:eastAsia="仿宋" w:cs="Times New Roman"/>
          <w:b/>
          <w:kern w:val="2"/>
          <w:sz w:val="32"/>
          <w:szCs w:val="32"/>
          <w:lang w:val="en-US" w:eastAsia="zh-CN" w:bidi="ar-SA"/>
        </w:rPr>
        <w:t>项目地勘服务</w:t>
      </w:r>
      <w:r>
        <w:rPr>
          <w:rFonts w:hint="eastAsia" w:ascii="仿宋" w:hAnsi="仿宋" w:eastAsia="仿宋"/>
          <w:b/>
          <w:sz w:val="32"/>
          <w:szCs w:val="32"/>
          <w:lang w:val="en-US" w:eastAsia="zh-CN"/>
        </w:rPr>
        <w:t>采购需求</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49EF7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C643D88">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1AFD72F0">
            <w:pPr>
              <w:pStyle w:val="35"/>
              <w:ind w:left="38"/>
              <w:jc w:val="center"/>
              <w:rPr>
                <w:b/>
                <w:kern w:val="2"/>
                <w:lang w:val="zh-CN"/>
              </w:rPr>
            </w:pPr>
            <w:r>
              <w:rPr>
                <w:rFonts w:hint="eastAsia"/>
                <w:b/>
                <w:kern w:val="2"/>
                <w:sz w:val="28"/>
                <w:szCs w:val="28"/>
                <w:lang w:val="zh-CN"/>
              </w:rPr>
              <w:t>关键事项</w:t>
            </w:r>
          </w:p>
        </w:tc>
        <w:tc>
          <w:tcPr>
            <w:tcW w:w="7067" w:type="dxa"/>
            <w:vAlign w:val="center"/>
          </w:tcPr>
          <w:p w14:paraId="1C49AD74">
            <w:pPr>
              <w:pStyle w:val="35"/>
              <w:jc w:val="center"/>
              <w:rPr>
                <w:b/>
                <w:kern w:val="2"/>
                <w:lang w:val="zh-CN"/>
              </w:rPr>
            </w:pPr>
            <w:r>
              <w:rPr>
                <w:rFonts w:hint="eastAsia"/>
                <w:b/>
                <w:kern w:val="2"/>
                <w:sz w:val="28"/>
                <w:szCs w:val="28"/>
                <w:lang w:val="zh-CN"/>
              </w:rPr>
              <w:t>说明和要求</w:t>
            </w:r>
          </w:p>
        </w:tc>
      </w:tr>
      <w:tr w14:paraId="3D245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11D9C64">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39E5F31A">
            <w:pPr>
              <w:pStyle w:val="35"/>
              <w:ind w:left="38"/>
              <w:jc w:val="center"/>
              <w:rPr>
                <w:kern w:val="2"/>
                <w:lang w:val="zh-CN"/>
              </w:rPr>
            </w:pPr>
            <w:r>
              <w:rPr>
                <w:rFonts w:hint="eastAsia"/>
                <w:kern w:val="2"/>
                <w:lang w:val="zh-CN"/>
              </w:rPr>
              <w:t>采购预算</w:t>
            </w:r>
          </w:p>
        </w:tc>
        <w:tc>
          <w:tcPr>
            <w:tcW w:w="7067" w:type="dxa"/>
            <w:vAlign w:val="center"/>
          </w:tcPr>
          <w:p w14:paraId="7B5F26AC">
            <w:pPr>
              <w:pStyle w:val="35"/>
              <w:jc w:val="both"/>
              <w:rPr>
                <w:b/>
                <w:kern w:val="2"/>
                <w:lang w:val="zh-CN"/>
              </w:rPr>
            </w:pPr>
            <w:r>
              <w:rPr>
                <w:rFonts w:hint="eastAsia"/>
                <w:b/>
                <w:kern w:val="2"/>
                <w:lang w:val="zh-CN"/>
              </w:rPr>
              <w:t>人民币</w:t>
            </w:r>
            <w:r>
              <w:rPr>
                <w:rFonts w:hint="eastAsia"/>
                <w:b/>
                <w:kern w:val="2"/>
                <w:u w:val="single"/>
                <w:lang w:val="en-US" w:eastAsia="zh-CN"/>
              </w:rPr>
              <w:t xml:space="preserve">   770000.00     </w:t>
            </w:r>
            <w:r>
              <w:rPr>
                <w:rFonts w:hint="eastAsia"/>
                <w:b/>
                <w:kern w:val="2"/>
                <w:lang w:val="zh-CN"/>
              </w:rPr>
              <w:t>元</w:t>
            </w:r>
          </w:p>
          <w:p w14:paraId="26D953FF">
            <w:pPr>
              <w:pStyle w:val="35"/>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525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274FCD8">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79D34A7A">
            <w:pPr>
              <w:pStyle w:val="35"/>
              <w:ind w:left="38"/>
              <w:jc w:val="center"/>
              <w:rPr>
                <w:kern w:val="2"/>
                <w:lang w:val="zh-CN"/>
              </w:rPr>
            </w:pPr>
            <w:r>
              <w:rPr>
                <w:rFonts w:hint="eastAsia"/>
                <w:kern w:val="2"/>
                <w:lang w:val="zh-CN"/>
              </w:rPr>
              <w:t>最高限价</w:t>
            </w:r>
          </w:p>
        </w:tc>
        <w:tc>
          <w:tcPr>
            <w:tcW w:w="7067" w:type="dxa"/>
            <w:vAlign w:val="center"/>
          </w:tcPr>
          <w:p w14:paraId="5BC02B4E">
            <w:pPr>
              <w:pStyle w:val="35"/>
              <w:jc w:val="both"/>
              <w:rPr>
                <w:b/>
                <w:kern w:val="2"/>
                <w:lang w:val="zh-CN"/>
              </w:rPr>
            </w:pPr>
            <w:r>
              <w:rPr>
                <w:rFonts w:hint="eastAsia"/>
                <w:b/>
                <w:kern w:val="2"/>
                <w:lang w:val="zh-CN"/>
              </w:rPr>
              <w:t>人民币</w:t>
            </w:r>
            <w:r>
              <w:rPr>
                <w:rFonts w:hint="eastAsia"/>
                <w:b/>
                <w:kern w:val="2"/>
                <w:u w:val="single"/>
                <w:lang w:val="en-US" w:eastAsia="zh-CN"/>
              </w:rPr>
              <w:t xml:space="preserve">  770000.00      </w:t>
            </w:r>
            <w:r>
              <w:rPr>
                <w:rFonts w:hint="eastAsia"/>
                <w:b/>
                <w:kern w:val="2"/>
                <w:lang w:val="zh-CN"/>
              </w:rPr>
              <w:t>元</w:t>
            </w:r>
          </w:p>
          <w:p w14:paraId="1F98E0E0">
            <w:pPr>
              <w:pStyle w:val="35"/>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5D72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329235E2">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41C7CE17">
            <w:pPr>
              <w:pStyle w:val="35"/>
              <w:ind w:left="38"/>
              <w:jc w:val="center"/>
              <w:rPr>
                <w:rFonts w:hint="eastAsia"/>
                <w:kern w:val="2"/>
                <w:lang w:val="zh-CN"/>
              </w:rPr>
            </w:pPr>
            <w:r>
              <w:rPr>
                <w:rFonts w:hint="eastAsia"/>
                <w:kern w:val="2"/>
                <w:lang w:val="zh-CN"/>
              </w:rPr>
              <w:t>项目性质</w:t>
            </w:r>
          </w:p>
        </w:tc>
        <w:tc>
          <w:tcPr>
            <w:tcW w:w="7067" w:type="dxa"/>
            <w:vAlign w:val="center"/>
          </w:tcPr>
          <w:p w14:paraId="7167FA4D">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专门面向中小企业采购</w:t>
            </w:r>
          </w:p>
          <w:p w14:paraId="3A6AFAAB">
            <w:pPr>
              <w:pStyle w:val="35"/>
              <w:ind w:left="38"/>
              <w:jc w:val="both"/>
              <w:rPr>
                <w:rFonts w:hint="eastAsia"/>
                <w:b/>
                <w:kern w:val="2"/>
                <w:lang w:val="zh-CN"/>
              </w:rPr>
            </w:pPr>
            <w:r>
              <w:rPr>
                <w:rFonts w:hint="eastAsia"/>
                <w:kern w:val="2"/>
                <w:sz w:val="21"/>
                <w:szCs w:val="21"/>
                <w:lang w:val="zh-CN"/>
              </w:rPr>
              <w:t>仅允许中小企业或小型、微型企业参与投标。</w:t>
            </w:r>
          </w:p>
        </w:tc>
      </w:tr>
      <w:tr w14:paraId="492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566484D">
            <w:pPr>
              <w:snapToGrid w:val="0"/>
              <w:spacing w:after="200"/>
              <w:ind w:left="142"/>
              <w:jc w:val="center"/>
              <w:rPr>
                <w:rFonts w:ascii="宋体" w:hAnsi="宋体"/>
                <w:b/>
                <w:sz w:val="28"/>
                <w:szCs w:val="28"/>
                <w:lang w:val="zh-CN"/>
              </w:rPr>
            </w:pPr>
          </w:p>
        </w:tc>
        <w:tc>
          <w:tcPr>
            <w:tcW w:w="1556" w:type="dxa"/>
            <w:vMerge w:val="continue"/>
            <w:vAlign w:val="center"/>
          </w:tcPr>
          <w:p w14:paraId="762331CE">
            <w:pPr>
              <w:pStyle w:val="35"/>
              <w:ind w:left="96"/>
              <w:jc w:val="center"/>
              <w:rPr>
                <w:kern w:val="2"/>
                <w:lang w:val="zh-CN"/>
              </w:rPr>
            </w:pPr>
          </w:p>
        </w:tc>
        <w:tc>
          <w:tcPr>
            <w:tcW w:w="7067" w:type="dxa"/>
            <w:vAlign w:val="center"/>
          </w:tcPr>
          <w:p w14:paraId="637F949D">
            <w:pPr>
              <w:rPr>
                <w:rFonts w:ascii="宋体" w:hAnsi="宋体" w:cs="宋体"/>
                <w:b/>
                <w:sz w:val="24"/>
                <w:szCs w:val="24"/>
                <w:lang w:val="zh-CN"/>
              </w:rPr>
            </w:pPr>
            <w:r>
              <w:rPr>
                <w:rFonts w:hint="eastAsia" w:asciiTheme="minorEastAsia" w:hAnsiTheme="minorEastAsia" w:eastAsiaTheme="minorEastAsia" w:cstheme="minorEastAsia"/>
                <w:color w:val="000000"/>
                <w:sz w:val="24"/>
                <w:lang w:eastAsia="zh-CN"/>
              </w:rPr>
              <w:t>□</w:t>
            </w:r>
            <w:r>
              <w:rPr>
                <w:rFonts w:hint="eastAsia" w:ascii="宋体" w:hAnsi="宋体" w:cs="宋体"/>
                <w:b/>
                <w:sz w:val="24"/>
                <w:szCs w:val="24"/>
                <w:lang w:val="zh-CN"/>
              </w:rPr>
              <w:t>非专门面向中小企业采购</w:t>
            </w:r>
          </w:p>
          <w:p w14:paraId="7421FA0C">
            <w:pPr>
              <w:ind w:right="94" w:rightChars="45"/>
              <w:rPr>
                <w:rFonts w:ascii="宋体" w:hAnsi="宋体"/>
                <w:b/>
                <w:szCs w:val="21"/>
              </w:rPr>
            </w:pPr>
            <w:r>
              <w:rPr>
                <w:rFonts w:hint="eastAsia" w:ascii="宋体" w:hAnsi="宋体" w:cs="宋体"/>
                <w:color w:val="000000" w:themeColor="text1"/>
                <w:kern w:val="0"/>
                <w:szCs w:val="21"/>
                <w:lang w:val="zh-CN"/>
                <w14:textFill>
                  <w14:solidFill>
                    <w14:schemeClr w14:val="tx1"/>
                  </w14:solidFill>
                </w14:textFill>
              </w:rPr>
              <w:t>对符合《政府采购促进中小企业发展管理办法》（财库〔2020〕46号）规定的小微企业（监狱企业视同小型、微型企业）的报价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w:t>
            </w:r>
            <w:r>
              <w:rPr>
                <w:rFonts w:hint="eastAsia" w:ascii="宋体" w:hAnsi="宋体" w:cs="宋体"/>
                <w:b/>
                <w:color w:val="000000" w:themeColor="text1"/>
                <w:kern w:val="0"/>
                <w:szCs w:val="21"/>
                <w:u w:val="single"/>
                <w:lang w:val="en-US" w:eastAsia="zh-CN"/>
                <w14:textFill>
                  <w14:solidFill>
                    <w14:schemeClr w14:val="tx1"/>
                  </w14:solidFill>
                </w14:textFill>
              </w:rPr>
              <w:t xml:space="preserve"> 10  </w:t>
            </w:r>
            <w:r>
              <w:rPr>
                <w:rFonts w:hint="eastAsia" w:ascii="宋体" w:hAnsi="宋体" w:cs="宋体"/>
                <w:b/>
                <w:color w:val="000000" w:themeColor="text1"/>
                <w:kern w:val="0"/>
                <w:szCs w:val="21"/>
                <w:lang w:val="zh-CN"/>
                <w14:textFill>
                  <w14:solidFill>
                    <w14:schemeClr w14:val="tx1"/>
                  </w14:solidFill>
                </w14:textFill>
              </w:rPr>
              <w:t>%（6%-</w:t>
            </w:r>
            <w:r>
              <w:rPr>
                <w:rFonts w:ascii="宋体" w:hAnsi="宋体" w:cs="宋体"/>
                <w:b/>
                <w:color w:val="000000" w:themeColor="text1"/>
                <w:kern w:val="0"/>
                <w:szCs w:val="21"/>
                <w:lang w:val="zh-CN"/>
                <w14:textFill>
                  <w14:solidFill>
                    <w14:schemeClr w14:val="tx1"/>
                  </w14:solidFill>
                </w14:textFill>
              </w:rPr>
              <w:t>10%</w:t>
            </w:r>
            <w:r>
              <w:rPr>
                <w:rFonts w:hint="eastAsia" w:ascii="宋体" w:hAnsi="宋体" w:cs="宋体"/>
                <w:b/>
                <w:color w:val="000000" w:themeColor="text1"/>
                <w:kern w:val="0"/>
                <w:szCs w:val="21"/>
                <w:lang w:val="zh-CN"/>
                <w14:textFill>
                  <w14:solidFill>
                    <w14:schemeClr w14:val="tx1"/>
                  </w14:solidFill>
                </w14:textFill>
              </w:rPr>
              <w:t>）的扣除</w:t>
            </w:r>
            <w:r>
              <w:rPr>
                <w:rFonts w:hint="eastAsia" w:ascii="宋体" w:hAnsi="宋体" w:cs="宋体"/>
                <w:color w:val="000000" w:themeColor="text1"/>
                <w:kern w:val="0"/>
                <w:szCs w:val="21"/>
                <w:lang w:val="zh-CN"/>
                <w14:textFill>
                  <w14:solidFill>
                    <w14:schemeClr w14:val="tx1"/>
                  </w14:solidFill>
                </w14:textFill>
              </w:rPr>
              <w:t>，用扣除后的价格参加评审。</w:t>
            </w:r>
          </w:p>
        </w:tc>
      </w:tr>
      <w:tr w14:paraId="20E7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746B9F7">
            <w:pPr>
              <w:snapToGrid w:val="0"/>
              <w:spacing w:after="200"/>
              <w:jc w:val="center"/>
              <w:rPr>
                <w:rFonts w:ascii="宋体" w:hAnsi="宋体"/>
                <w:sz w:val="24"/>
              </w:rPr>
            </w:pPr>
            <w:r>
              <w:rPr>
                <w:rFonts w:ascii="宋体" w:hAnsi="宋体"/>
                <w:sz w:val="24"/>
              </w:rPr>
              <w:t>4</w:t>
            </w:r>
          </w:p>
        </w:tc>
        <w:tc>
          <w:tcPr>
            <w:tcW w:w="1556" w:type="dxa"/>
            <w:vAlign w:val="center"/>
          </w:tcPr>
          <w:p w14:paraId="2518D528">
            <w:pPr>
              <w:pStyle w:val="35"/>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3944E93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1.满足《中华人民共和国政府采购法》第二十二条规定;</w:t>
            </w:r>
          </w:p>
          <w:p w14:paraId="7412900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2.落实政府采购政策需满足的资格要求：</w:t>
            </w:r>
          </w:p>
          <w:p w14:paraId="6F421D0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合同包1(雁塔区2025年老旧小区庭院围墙内雨污水管网更新改造项目地勘</w:t>
            </w:r>
            <w:r>
              <w:rPr>
                <w:rFonts w:hint="eastAsia" w:ascii="宋体" w:hAnsi="宋体" w:cs="宋体"/>
                <w:b/>
                <w:bCs/>
                <w:color w:val="000000" w:themeColor="text1"/>
                <w:kern w:val="0"/>
                <w:sz w:val="21"/>
                <w:szCs w:val="21"/>
                <w:lang w:val="en-US" w:eastAsia="zh-CN" w:bidi="ar-SA"/>
                <w14:textFill>
                  <w14:solidFill>
                    <w14:schemeClr w14:val="tx1"/>
                  </w14:solidFill>
                </w14:textFill>
              </w:rPr>
              <w:t>服务</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)落实政府采购政策需满足的资格要求如下:</w:t>
            </w:r>
          </w:p>
          <w:p w14:paraId="3AB84AF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本项目专门面向中小企业采购。</w:t>
            </w:r>
          </w:p>
          <w:p w14:paraId="331CE68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3.本项目的特定资格要求：</w:t>
            </w:r>
          </w:p>
          <w:p w14:paraId="73B3C12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雁塔区2025年老旧小区庭院围墙内雨污水管网更新改造项目地勘</w:t>
            </w:r>
            <w:r>
              <w:rPr>
                <w:rFonts w:hint="eastAsia" w:ascii="宋体" w:hAnsi="宋体" w:cs="宋体"/>
                <w:b/>
                <w:bCs/>
                <w:color w:val="000000" w:themeColor="text1"/>
                <w:kern w:val="0"/>
                <w:sz w:val="21"/>
                <w:szCs w:val="21"/>
                <w:lang w:val="en-US" w:eastAsia="zh-CN" w:bidi="ar-SA"/>
                <w14:textFill>
                  <w14:solidFill>
                    <w14:schemeClr w14:val="tx1"/>
                  </w14:solidFill>
                </w14:textFill>
              </w:rPr>
              <w:t>服务</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)特定资格要求如下:</w:t>
            </w:r>
          </w:p>
          <w:p w14:paraId="19BDDBEE">
            <w:pPr>
              <w:pStyle w:val="8"/>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供应商应是独立承担民事责任能力的法人、其他组织或自然人，法人、其他组织须提供合法有效的营业执照(或事业单位法人证书)等证明资料，自然人须提供身份证明；</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法定代表人授权书（附法定代表人身份证复印件）及被授权人身份证（法定代表人直接参加投标只需提供法定代表人身份证）；</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3.供应商须具备行政主管部门核发的工程勘察综合类甲级资质或岩土工程勘察乙级及以上资质</w:t>
            </w:r>
            <w:r>
              <w:rPr>
                <w:rFonts w:hint="eastAsia" w:ascii="宋体" w:hAnsi="宋体" w:cs="宋体"/>
                <w:b/>
                <w:bCs/>
                <w:color w:val="000000" w:themeColor="text1"/>
                <w:kern w:val="0"/>
                <w:sz w:val="21"/>
                <w:szCs w:val="21"/>
                <w:lang w:val="en-US" w:eastAsia="zh-CN" w:bidi="ar-SA"/>
                <w14:textFill>
                  <w14:solidFill>
                    <w14:schemeClr w14:val="tx1"/>
                  </w14:solidFill>
                </w14:textFill>
              </w:rPr>
              <w:t>，</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拟派项目负责人须具备土木工程师（岩土）执业资格，且在本单位注册。</w:t>
            </w:r>
          </w:p>
          <w:p w14:paraId="1C6EC1CC">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政府采购”相应版块的查询结果截图加盖投标人公章）。</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5.本项目不接受联合体投标；单位负责人为同一人或者存在控股、管理关系的不同单位，不得参加同一项目的投标。</w:t>
            </w:r>
          </w:p>
          <w:p w14:paraId="6E324C05">
            <w:pPr>
              <w:pStyle w:val="35"/>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36A5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E9865B6">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6BC2DF83">
            <w:pPr>
              <w:pStyle w:val="35"/>
              <w:ind w:left="96"/>
              <w:jc w:val="center"/>
              <w:rPr>
                <w:rFonts w:hint="eastAsia"/>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4AA03BE9">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接受</w:t>
            </w:r>
          </w:p>
          <w:p w14:paraId="79AD198B">
            <w:pPr>
              <w:pStyle w:val="35"/>
              <w:jc w:val="both"/>
              <w:rPr>
                <w:rFonts w:hint="eastAsia"/>
                <w:b/>
                <w:kern w:val="2"/>
                <w:lang w:val="zh-CN"/>
              </w:rPr>
            </w:pPr>
            <w:r>
              <w:rPr>
                <w:rFonts w:hint="eastAsia"/>
                <w:kern w:val="2"/>
                <w:sz w:val="21"/>
                <w:szCs w:val="21"/>
                <w:lang w:val="zh-CN"/>
              </w:rPr>
              <w:t>对于联合体协议或者分包意向协议约定小微企业的合同份额占到合同总金额30%以上的，对联合体或者大中型企业的报价</w:t>
            </w:r>
            <w:r>
              <w:rPr>
                <w:rFonts w:hint="eastAsia"/>
                <w:b/>
                <w:kern w:val="2"/>
                <w:sz w:val="21"/>
                <w:szCs w:val="21"/>
                <w:lang w:val="zh-CN"/>
              </w:rPr>
              <w:t>给予___%（2%-</w:t>
            </w:r>
            <w:r>
              <w:rPr>
                <w:b/>
                <w:kern w:val="2"/>
                <w:sz w:val="21"/>
                <w:szCs w:val="21"/>
                <w:lang w:val="zh-CN"/>
              </w:rPr>
              <w:t>3%</w:t>
            </w:r>
            <w:r>
              <w:rPr>
                <w:rFonts w:hint="eastAsia"/>
                <w:b/>
                <w:kern w:val="2"/>
                <w:sz w:val="21"/>
                <w:szCs w:val="21"/>
                <w:lang w:val="zh-CN"/>
              </w:rPr>
              <w:t>）的扣除</w:t>
            </w:r>
            <w:r>
              <w:rPr>
                <w:rFonts w:hint="eastAsia"/>
                <w:kern w:val="2"/>
                <w:sz w:val="21"/>
                <w:szCs w:val="21"/>
                <w:lang w:val="zh-CN"/>
              </w:rPr>
              <w:t>，用扣除后的报价参加评审。</w:t>
            </w:r>
          </w:p>
        </w:tc>
      </w:tr>
      <w:tr w14:paraId="3112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AFA64CB">
            <w:pPr>
              <w:snapToGrid w:val="0"/>
              <w:spacing w:after="200"/>
              <w:ind w:left="142"/>
              <w:jc w:val="center"/>
              <w:rPr>
                <w:rFonts w:ascii="宋体" w:hAnsi="宋体"/>
                <w:sz w:val="24"/>
              </w:rPr>
            </w:pPr>
          </w:p>
        </w:tc>
        <w:tc>
          <w:tcPr>
            <w:tcW w:w="1556" w:type="dxa"/>
            <w:vMerge w:val="continue"/>
            <w:vAlign w:val="center"/>
          </w:tcPr>
          <w:p w14:paraId="1F51397A">
            <w:pPr>
              <w:pStyle w:val="35"/>
              <w:ind w:left="96"/>
              <w:jc w:val="center"/>
              <w:rPr>
                <w:kern w:val="2"/>
                <w:lang w:val="zh-CN"/>
              </w:rPr>
            </w:pPr>
          </w:p>
        </w:tc>
        <w:tc>
          <w:tcPr>
            <w:tcW w:w="7067" w:type="dxa"/>
            <w:vAlign w:val="center"/>
          </w:tcPr>
          <w:p w14:paraId="001A80DD">
            <w:pPr>
              <w:pStyle w:val="35"/>
              <w:jc w:val="both"/>
              <w:rPr>
                <w:rFonts w:hint="eastAsia"/>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不接受</w:t>
            </w:r>
          </w:p>
        </w:tc>
      </w:tr>
      <w:tr w14:paraId="4A43D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67E001F8">
            <w:pPr>
              <w:snapToGrid w:val="0"/>
              <w:spacing w:after="200"/>
              <w:jc w:val="center"/>
              <w:rPr>
                <w:rFonts w:ascii="宋体" w:hAnsi="宋体"/>
                <w:sz w:val="24"/>
              </w:rPr>
            </w:pPr>
            <w:r>
              <w:rPr>
                <w:rFonts w:ascii="宋体" w:hAnsi="宋体"/>
                <w:sz w:val="24"/>
              </w:rPr>
              <w:t>6</w:t>
            </w:r>
          </w:p>
        </w:tc>
        <w:tc>
          <w:tcPr>
            <w:tcW w:w="1556" w:type="dxa"/>
            <w:vMerge w:val="restart"/>
            <w:vAlign w:val="center"/>
          </w:tcPr>
          <w:p w14:paraId="287497B2">
            <w:pPr>
              <w:pStyle w:val="35"/>
              <w:ind w:left="96"/>
              <w:jc w:val="center"/>
              <w:rPr>
                <w:kern w:val="2"/>
                <w:lang w:val="zh-CN"/>
              </w:rPr>
            </w:pPr>
            <w:r>
              <w:rPr>
                <w:kern w:val="2"/>
                <w:lang w:val="zh-CN"/>
              </w:rPr>
              <w:t>履约保证金</w:t>
            </w:r>
          </w:p>
        </w:tc>
        <w:tc>
          <w:tcPr>
            <w:tcW w:w="7067" w:type="dxa"/>
            <w:vAlign w:val="center"/>
          </w:tcPr>
          <w:p w14:paraId="033F71ED">
            <w:pPr>
              <w:ind w:right="94" w:rightChars="45"/>
              <w:rPr>
                <w:rFonts w:ascii="宋体" w:hAnsi="宋体"/>
                <w:b/>
                <w:sz w:val="24"/>
              </w:rPr>
            </w:pPr>
            <w:r>
              <w:rPr>
                <w:rFonts w:ascii="宋体" w:hAnsi="宋体"/>
                <w:b/>
                <w:sz w:val="24"/>
              </w:rPr>
              <w:t>占政府采购合同金额的</w:t>
            </w:r>
            <w:r>
              <w:rPr>
                <w:rFonts w:hint="eastAsia" w:ascii="宋体" w:hAnsi="宋体"/>
                <w:b/>
                <w:sz w:val="24"/>
                <w:u w:val="single"/>
                <w:lang w:val="en-US" w:eastAsia="zh-CN"/>
              </w:rPr>
              <w:t xml:space="preserve">  0  </w:t>
            </w:r>
            <w:r>
              <w:rPr>
                <w:rFonts w:hint="eastAsia" w:ascii="宋体" w:hAnsi="宋体"/>
                <w:b/>
                <w:sz w:val="24"/>
              </w:rPr>
              <w:t>%</w:t>
            </w:r>
          </w:p>
          <w:p w14:paraId="5AB36CA6">
            <w:pPr>
              <w:ind w:right="94" w:rightChars="45"/>
              <w:rPr>
                <w:rFonts w:hint="eastAsia" w:ascii="宋体" w:hAnsi="宋体"/>
                <w:szCs w:val="21"/>
              </w:rPr>
            </w:pPr>
            <w:r>
              <w:rPr>
                <w:rFonts w:hint="eastAsia" w:ascii="宋体" w:hAnsi="宋体"/>
                <w:szCs w:val="21"/>
              </w:rPr>
              <w:t>履约保证金的数额不得超过政府采购合同金额的10%；对于单价合同，其数额不得超过采购预算的10%</w:t>
            </w:r>
          </w:p>
        </w:tc>
      </w:tr>
      <w:tr w14:paraId="3621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89070FC">
            <w:pPr>
              <w:snapToGrid w:val="0"/>
              <w:spacing w:after="200"/>
              <w:ind w:left="142"/>
              <w:jc w:val="center"/>
              <w:rPr>
                <w:rFonts w:ascii="宋体" w:hAnsi="宋体"/>
                <w:sz w:val="24"/>
              </w:rPr>
            </w:pPr>
          </w:p>
        </w:tc>
        <w:tc>
          <w:tcPr>
            <w:tcW w:w="1556" w:type="dxa"/>
            <w:vMerge w:val="continue"/>
            <w:vAlign w:val="center"/>
          </w:tcPr>
          <w:p w14:paraId="2FDC8356">
            <w:pPr>
              <w:pStyle w:val="35"/>
              <w:ind w:left="96"/>
              <w:jc w:val="center"/>
              <w:rPr>
                <w:kern w:val="2"/>
                <w:lang w:val="zh-CN"/>
              </w:rPr>
            </w:pPr>
          </w:p>
        </w:tc>
        <w:tc>
          <w:tcPr>
            <w:tcW w:w="7067" w:type="dxa"/>
            <w:vAlign w:val="center"/>
          </w:tcPr>
          <w:p w14:paraId="37D036C7">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由采购单位自行收退</w:t>
            </w:r>
          </w:p>
          <w:p w14:paraId="265200AA">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由代理机构负责收退</w:t>
            </w:r>
          </w:p>
        </w:tc>
      </w:tr>
      <w:tr w14:paraId="21F2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C671E4E">
            <w:pPr>
              <w:snapToGrid w:val="0"/>
              <w:spacing w:after="200"/>
              <w:jc w:val="center"/>
              <w:rPr>
                <w:rFonts w:ascii="宋体" w:hAnsi="宋体"/>
                <w:sz w:val="24"/>
              </w:rPr>
            </w:pPr>
            <w:r>
              <w:rPr>
                <w:rFonts w:ascii="宋体" w:hAnsi="宋体"/>
                <w:sz w:val="24"/>
              </w:rPr>
              <w:t>7</w:t>
            </w:r>
          </w:p>
        </w:tc>
        <w:tc>
          <w:tcPr>
            <w:tcW w:w="1556" w:type="dxa"/>
            <w:vAlign w:val="center"/>
          </w:tcPr>
          <w:p w14:paraId="10CF0D38">
            <w:pPr>
              <w:pStyle w:val="35"/>
              <w:ind w:left="96"/>
              <w:jc w:val="center"/>
              <w:rPr>
                <w:kern w:val="2"/>
                <w:lang w:val="zh-CN"/>
              </w:rPr>
            </w:pPr>
            <w:r>
              <w:rPr>
                <w:kern w:val="2"/>
                <w:lang w:val="zh-CN"/>
              </w:rPr>
              <w:t>集中答疑</w:t>
            </w:r>
          </w:p>
        </w:tc>
        <w:tc>
          <w:tcPr>
            <w:tcW w:w="7067" w:type="dxa"/>
            <w:vAlign w:val="center"/>
          </w:tcPr>
          <w:p w14:paraId="29D6CEAF">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组织，答疑地点为：</w:t>
            </w:r>
            <w:r>
              <w:rPr>
                <w:rFonts w:hint="eastAsia" w:ascii="宋体" w:hAnsi="宋体"/>
                <w:b/>
                <w:sz w:val="24"/>
              </w:rPr>
              <w:t>_______________________</w:t>
            </w:r>
          </w:p>
          <w:p w14:paraId="1B7CB108">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不组织</w:t>
            </w:r>
          </w:p>
        </w:tc>
      </w:tr>
      <w:tr w14:paraId="54BB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771BAD2">
            <w:pPr>
              <w:snapToGrid w:val="0"/>
              <w:spacing w:after="200"/>
              <w:jc w:val="center"/>
              <w:rPr>
                <w:rFonts w:ascii="宋体" w:hAnsi="宋体"/>
                <w:sz w:val="24"/>
              </w:rPr>
            </w:pPr>
            <w:r>
              <w:rPr>
                <w:rFonts w:ascii="宋体" w:hAnsi="宋体"/>
                <w:sz w:val="24"/>
              </w:rPr>
              <w:t>8</w:t>
            </w:r>
          </w:p>
        </w:tc>
        <w:tc>
          <w:tcPr>
            <w:tcW w:w="1556" w:type="dxa"/>
            <w:vAlign w:val="center"/>
          </w:tcPr>
          <w:p w14:paraId="58913686">
            <w:pPr>
              <w:pStyle w:val="35"/>
              <w:ind w:left="96"/>
              <w:jc w:val="center"/>
              <w:rPr>
                <w:kern w:val="2"/>
                <w:lang w:val="zh-CN"/>
              </w:rPr>
            </w:pPr>
            <w:r>
              <w:rPr>
                <w:kern w:val="2"/>
                <w:lang w:val="zh-CN"/>
              </w:rPr>
              <w:t>价格分比重</w:t>
            </w:r>
          </w:p>
        </w:tc>
        <w:tc>
          <w:tcPr>
            <w:tcW w:w="7067" w:type="dxa"/>
            <w:vAlign w:val="center"/>
          </w:tcPr>
          <w:p w14:paraId="0E2DAF14">
            <w:pPr>
              <w:widowControl/>
              <w:rPr>
                <w:rFonts w:hint="eastAsia"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u w:val="single"/>
                <w:lang w:val="en-US" w:eastAsia="zh-CN"/>
              </w:rPr>
              <w:t xml:space="preserve">  15</w:t>
            </w:r>
            <w:bookmarkStart w:id="2" w:name="_GoBack"/>
            <w:bookmarkEnd w:id="2"/>
            <w:r>
              <w:rPr>
                <w:rFonts w:hint="eastAsia" w:ascii="宋体" w:hAnsi="宋体" w:cs="宋体"/>
                <w:b/>
                <w:kern w:val="0"/>
                <w:sz w:val="24"/>
                <w:szCs w:val="24"/>
                <w:u w:val="single"/>
                <w:lang w:val="en-US" w:eastAsia="zh-CN"/>
              </w:rPr>
              <w:t xml:space="preserve"> </w:t>
            </w:r>
            <w:r>
              <w:rPr>
                <w:rFonts w:hint="eastAsia" w:ascii="宋体" w:hAnsi="宋体" w:cs="宋体"/>
                <w:b/>
                <w:kern w:val="0"/>
                <w:sz w:val="24"/>
                <w:szCs w:val="24"/>
                <w:lang w:val="zh-CN"/>
              </w:rPr>
              <w:t>%</w:t>
            </w:r>
          </w:p>
          <w:p w14:paraId="32EEAE4E">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41C5B35B">
            <w:pPr>
              <w:widowControl/>
              <w:rPr>
                <w:rFonts w:hint="eastAsia"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3E9E380B">
            <w:pPr>
              <w:widowControl/>
              <w:rPr>
                <w:rFonts w:hint="eastAsia" w:ascii="宋体" w:hAnsi="宋体" w:cs="宋体"/>
                <w:kern w:val="0"/>
                <w:szCs w:val="21"/>
                <w:lang w:val="zh-CN"/>
              </w:rPr>
            </w:pPr>
            <w:r>
              <w:rPr>
                <w:rFonts w:hint="eastAsia" w:ascii="宋体" w:hAnsi="宋体" w:cs="宋体"/>
                <w:kern w:val="0"/>
                <w:szCs w:val="21"/>
                <w:lang w:val="zh-CN"/>
              </w:rPr>
              <w:t>[其他采购方式]无须设置。</w:t>
            </w:r>
          </w:p>
        </w:tc>
      </w:tr>
      <w:tr w14:paraId="1A3D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67E34AA">
            <w:pPr>
              <w:snapToGrid w:val="0"/>
              <w:spacing w:after="200"/>
              <w:jc w:val="center"/>
              <w:rPr>
                <w:rFonts w:ascii="宋体" w:hAnsi="宋体"/>
                <w:sz w:val="24"/>
              </w:rPr>
            </w:pPr>
            <w:r>
              <w:rPr>
                <w:rFonts w:ascii="宋体" w:hAnsi="宋体"/>
                <w:sz w:val="24"/>
              </w:rPr>
              <w:t>9</w:t>
            </w:r>
          </w:p>
        </w:tc>
        <w:tc>
          <w:tcPr>
            <w:tcW w:w="1556" w:type="dxa"/>
            <w:vAlign w:val="center"/>
          </w:tcPr>
          <w:p w14:paraId="58020BA5">
            <w:pPr>
              <w:pStyle w:val="35"/>
              <w:ind w:left="96"/>
              <w:jc w:val="center"/>
              <w:rPr>
                <w:kern w:val="2"/>
                <w:lang w:val="zh-CN"/>
              </w:rPr>
            </w:pPr>
            <w:r>
              <w:rPr>
                <w:kern w:val="2"/>
                <w:lang w:val="zh-CN"/>
              </w:rPr>
              <w:t>合同类型</w:t>
            </w:r>
          </w:p>
        </w:tc>
        <w:tc>
          <w:tcPr>
            <w:tcW w:w="7067" w:type="dxa"/>
            <w:vAlign w:val="center"/>
          </w:tcPr>
          <w:p w14:paraId="6B4AA1CE">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固定总价</w:t>
            </w:r>
          </w:p>
          <w:p w14:paraId="2171A124">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固定单价（适用于采购数量不定的情形）</w:t>
            </w:r>
          </w:p>
          <w:p w14:paraId="64292CA1">
            <w:pPr>
              <w:rPr>
                <w:rFonts w:hint="eastAsia" w:ascii="宋体" w:hAnsi="宋体"/>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其他</w:t>
            </w:r>
            <w:r>
              <w:rPr>
                <w:rFonts w:hint="eastAsia" w:ascii="宋体" w:hAnsi="宋体"/>
                <w:b/>
                <w:sz w:val="24"/>
                <w:lang w:val="zh-CN"/>
              </w:rPr>
              <w:t>：_____________________________</w:t>
            </w:r>
          </w:p>
        </w:tc>
      </w:tr>
      <w:tr w14:paraId="70C2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9251CCD">
            <w:pPr>
              <w:snapToGrid w:val="0"/>
              <w:spacing w:after="200"/>
              <w:jc w:val="center"/>
              <w:rPr>
                <w:rFonts w:ascii="宋体" w:hAnsi="宋体"/>
                <w:sz w:val="24"/>
              </w:rPr>
            </w:pPr>
            <w:r>
              <w:rPr>
                <w:rFonts w:ascii="宋体" w:hAnsi="宋体"/>
                <w:sz w:val="24"/>
              </w:rPr>
              <w:t>10</w:t>
            </w:r>
          </w:p>
        </w:tc>
        <w:tc>
          <w:tcPr>
            <w:tcW w:w="1556" w:type="dxa"/>
            <w:vAlign w:val="center"/>
          </w:tcPr>
          <w:p w14:paraId="30ABE4DC">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29CA7C04">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向有管辖权的人民法院提起诉讼</w:t>
            </w:r>
          </w:p>
          <w:p w14:paraId="12EF9C0A">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向西安仲裁委员会提请仲裁</w:t>
            </w:r>
          </w:p>
          <w:p w14:paraId="48294FAF">
            <w:pPr>
              <w:tabs>
                <w:tab w:val="left" w:pos="7665"/>
              </w:tabs>
              <w:snapToGrid w:val="0"/>
              <w:rPr>
                <w:rFonts w:hint="eastAsia" w:ascii="宋体" w:hAnsi="宋体"/>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由供应商做出选择</w:t>
            </w:r>
          </w:p>
        </w:tc>
      </w:tr>
      <w:tr w14:paraId="06A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7E7A0D1">
            <w:pPr>
              <w:snapToGrid w:val="0"/>
              <w:spacing w:after="200"/>
              <w:jc w:val="center"/>
              <w:rPr>
                <w:rFonts w:ascii="宋体" w:hAnsi="宋体"/>
                <w:sz w:val="24"/>
              </w:rPr>
            </w:pPr>
            <w:r>
              <w:rPr>
                <w:rFonts w:ascii="宋体" w:hAnsi="宋体"/>
                <w:sz w:val="24"/>
              </w:rPr>
              <w:t>11</w:t>
            </w:r>
          </w:p>
        </w:tc>
        <w:tc>
          <w:tcPr>
            <w:tcW w:w="1556" w:type="dxa"/>
            <w:vAlign w:val="center"/>
          </w:tcPr>
          <w:p w14:paraId="67F5E09E">
            <w:pPr>
              <w:snapToGrid w:val="0"/>
              <w:jc w:val="center"/>
              <w:rPr>
                <w:rFonts w:hint="eastAsia" w:ascii="宋体" w:hAnsi="宋体"/>
                <w:sz w:val="24"/>
              </w:rPr>
            </w:pPr>
            <w:r>
              <w:rPr>
                <w:rFonts w:hint="eastAsia" w:ascii="宋体" w:hAnsi="宋体"/>
                <w:sz w:val="24"/>
              </w:rPr>
              <w:t>联系方式</w:t>
            </w:r>
          </w:p>
        </w:tc>
        <w:tc>
          <w:tcPr>
            <w:tcW w:w="7067" w:type="dxa"/>
            <w:vAlign w:val="center"/>
          </w:tcPr>
          <w:p w14:paraId="3D107A70">
            <w:pPr>
              <w:tabs>
                <w:tab w:val="left" w:pos="7665"/>
              </w:tabs>
              <w:snapToGrid w:val="0"/>
              <w:rPr>
                <w:rFonts w:hint="default" w:ascii="宋体" w:hAnsi="宋体"/>
                <w:b/>
                <w:bCs/>
                <w:sz w:val="24"/>
                <w:u w:val="single"/>
                <w:lang w:val="en-US"/>
              </w:rPr>
            </w:pPr>
            <w:r>
              <w:rPr>
                <w:rFonts w:hint="eastAsia" w:ascii="宋体" w:hAnsi="宋体"/>
                <w:b/>
                <w:bCs/>
                <w:sz w:val="24"/>
              </w:rPr>
              <w:t>项目对接人：</w:t>
            </w:r>
            <w:r>
              <w:rPr>
                <w:rFonts w:hint="eastAsia" w:ascii="宋体" w:hAnsi="宋体"/>
                <w:b/>
                <w:bCs/>
                <w:sz w:val="24"/>
                <w:u w:val="single"/>
                <w:lang w:val="en-US" w:eastAsia="zh-CN"/>
              </w:rPr>
              <w:t xml:space="preserve">  张工           </w:t>
            </w:r>
          </w:p>
          <w:p w14:paraId="532C47D3">
            <w:pPr>
              <w:tabs>
                <w:tab w:val="left" w:pos="7665"/>
              </w:tabs>
              <w:snapToGrid w:val="0"/>
              <w:rPr>
                <w:rFonts w:hint="default" w:ascii="宋体" w:hAnsi="宋体" w:eastAsia="宋体"/>
                <w:b/>
                <w:bCs/>
                <w:sz w:val="24"/>
                <w:lang w:val="en-US" w:eastAsia="zh-CN"/>
              </w:rPr>
            </w:pPr>
            <w:r>
              <w:rPr>
                <w:rFonts w:ascii="宋体" w:hAnsi="宋体"/>
                <w:b/>
                <w:bCs/>
                <w:sz w:val="24"/>
              </w:rPr>
              <w:t>联系电话：</w:t>
            </w:r>
            <w:r>
              <w:rPr>
                <w:rFonts w:hint="eastAsia" w:ascii="宋体" w:hAnsi="宋体"/>
                <w:b/>
                <w:bCs/>
                <w:sz w:val="24"/>
                <w:u w:val="single"/>
                <w:lang w:val="en-US" w:eastAsia="zh-CN"/>
              </w:rPr>
              <w:t xml:space="preserve">    17791588373      </w:t>
            </w:r>
          </w:p>
          <w:p w14:paraId="6592052A">
            <w:pPr>
              <w:tabs>
                <w:tab w:val="left" w:pos="7665"/>
              </w:tabs>
              <w:snapToGrid w:val="0"/>
              <w:rPr>
                <w:rFonts w:hint="eastAsia" w:ascii="宋体" w:hAnsi="宋体"/>
                <w:sz w:val="24"/>
              </w:rPr>
            </w:pPr>
            <w:r>
              <w:rPr>
                <w:rFonts w:ascii="宋体" w:hAnsi="宋体"/>
                <w:b/>
                <w:bCs/>
                <w:sz w:val="24"/>
              </w:rPr>
              <w:t>电子邮箱：</w:t>
            </w:r>
            <w:r>
              <w:rPr>
                <w:rFonts w:hint="eastAsia" w:ascii="宋体" w:hAnsi="宋体"/>
                <w:b/>
                <w:bCs/>
                <w:sz w:val="24"/>
                <w:u w:val="single"/>
                <w:lang w:val="en-US" w:eastAsia="zh-CN"/>
              </w:rPr>
              <w:t xml:space="preserve">    /      </w:t>
            </w:r>
          </w:p>
        </w:tc>
      </w:tr>
    </w:tbl>
    <w:p w14:paraId="67E830CA">
      <w:pPr>
        <w:spacing w:line="360" w:lineRule="auto"/>
        <w:ind w:firstLine="562" w:firstLineChars="200"/>
        <w:jc w:val="center"/>
        <w:outlineLvl w:val="0"/>
        <w:rPr>
          <w:rFonts w:ascii="仿宋" w:hAnsi="仿宋" w:eastAsia="仿宋" w:cs="仿宋"/>
          <w:b/>
          <w:bCs/>
          <w:color w:val="000000"/>
          <w:szCs w:val="24"/>
        </w:rPr>
      </w:pPr>
      <w:r>
        <w:rPr>
          <w:rFonts w:hint="eastAsia" w:ascii="仿宋" w:hAnsi="仿宋" w:eastAsia="仿宋" w:cs="仿宋"/>
          <w:b/>
          <w:color w:val="000000"/>
          <w:sz w:val="28"/>
          <w:szCs w:val="28"/>
        </w:rPr>
        <w:t>采购内容及要求</w:t>
      </w:r>
    </w:p>
    <w:p w14:paraId="493090F0">
      <w:pPr>
        <w:adjustRightInd w:val="0"/>
        <w:snapToGrid w:val="0"/>
        <w:spacing w:line="360" w:lineRule="auto"/>
        <w:rPr>
          <w:rFonts w:ascii="仿宋" w:hAnsi="仿宋" w:eastAsia="仿宋" w:cs="仿宋"/>
          <w:b/>
          <w:bCs/>
          <w:szCs w:val="24"/>
        </w:rPr>
      </w:pPr>
      <w:r>
        <w:rPr>
          <w:rFonts w:hint="eastAsia" w:ascii="仿宋" w:hAnsi="仿宋" w:eastAsia="仿宋" w:cs="仿宋"/>
          <w:b/>
          <w:bCs/>
          <w:szCs w:val="24"/>
        </w:rPr>
        <w:t>一、项目概况</w:t>
      </w:r>
    </w:p>
    <w:p w14:paraId="27DF3604">
      <w:pPr>
        <w:spacing w:line="360" w:lineRule="auto"/>
        <w:ind w:firstLine="420" w:firstLineChars="200"/>
        <w:rPr>
          <w:rFonts w:hint="eastAsia" w:ascii="仿宋" w:hAnsi="仿宋" w:eastAsia="仿宋" w:cs="仿宋"/>
          <w:szCs w:val="24"/>
          <w:lang w:val="en-US" w:eastAsia="zh-CN"/>
        </w:rPr>
      </w:pPr>
      <w:r>
        <w:rPr>
          <w:rFonts w:hint="eastAsia" w:ascii="仿宋" w:hAnsi="仿宋" w:eastAsia="仿宋" w:cs="仿宋"/>
          <w:szCs w:val="24"/>
        </w:rPr>
        <w:t>项目名称：西安市雁塔区既有住宅小区雨污分流改造项目勘察</w:t>
      </w:r>
      <w:r>
        <w:rPr>
          <w:rFonts w:hint="eastAsia" w:ascii="仿宋" w:hAnsi="仿宋" w:eastAsia="仿宋" w:cs="仿宋"/>
          <w:szCs w:val="24"/>
          <w:lang w:val="en-US" w:eastAsia="zh-CN"/>
        </w:rPr>
        <w:t>服务</w:t>
      </w:r>
    </w:p>
    <w:p w14:paraId="7D0D4EF4">
      <w:pPr>
        <w:spacing w:line="360" w:lineRule="auto"/>
        <w:ind w:firstLine="420" w:firstLineChars="200"/>
        <w:rPr>
          <w:rFonts w:ascii="仿宋" w:hAnsi="仿宋" w:eastAsia="仿宋" w:cs="仿宋"/>
          <w:szCs w:val="24"/>
        </w:rPr>
      </w:pPr>
      <w:r>
        <w:rPr>
          <w:rFonts w:hint="eastAsia" w:ascii="仿宋" w:hAnsi="仿宋" w:eastAsia="仿宋" w:cs="仿宋"/>
          <w:szCs w:val="24"/>
        </w:rPr>
        <w:t>采购预算：</w:t>
      </w:r>
      <w:r>
        <w:rPr>
          <w:rFonts w:hint="eastAsia" w:ascii="仿宋" w:hAnsi="仿宋" w:eastAsia="仿宋" w:cs="仿宋"/>
          <w:szCs w:val="24"/>
          <w:lang w:val="en-US" w:eastAsia="zh-CN"/>
        </w:rPr>
        <w:t>77</w:t>
      </w:r>
      <w:r>
        <w:rPr>
          <w:rFonts w:hint="eastAsia" w:ascii="仿宋" w:hAnsi="仿宋" w:eastAsia="仿宋" w:cs="仿宋"/>
          <w:szCs w:val="24"/>
        </w:rPr>
        <w:t>万元</w:t>
      </w:r>
    </w:p>
    <w:p w14:paraId="7B0BFA7E">
      <w:pPr>
        <w:spacing w:line="360" w:lineRule="auto"/>
        <w:ind w:firstLine="420" w:firstLineChars="200"/>
        <w:rPr>
          <w:rFonts w:ascii="仿宋" w:hAnsi="仿宋" w:eastAsia="仿宋" w:cs="仿宋"/>
          <w:szCs w:val="24"/>
        </w:rPr>
      </w:pPr>
      <w:r>
        <w:rPr>
          <w:rFonts w:hint="eastAsia" w:ascii="仿宋" w:hAnsi="仿宋" w:eastAsia="仿宋" w:cs="仿宋"/>
          <w:szCs w:val="24"/>
        </w:rPr>
        <w:t>勘察范围：</w:t>
      </w:r>
      <w:bookmarkStart w:id="0" w:name="OLE_LINK65"/>
      <w:bookmarkStart w:id="1" w:name="OLE_LINK64"/>
      <w:r>
        <w:rPr>
          <w:rFonts w:ascii="仿宋" w:hAnsi="仿宋" w:eastAsia="仿宋" w:cs="仿宋"/>
          <w:szCs w:val="24"/>
        </w:rPr>
        <w:t>本项目为对西勘小区、城南锦绣小区等46个老旧小区围墙内雨污分流改造，本项目位于西安市雁塔区，具体如下：</w:t>
      </w:r>
      <w:bookmarkEnd w:id="0"/>
      <w:bookmarkEnd w:id="1"/>
    </w:p>
    <w:p w14:paraId="1258BF62">
      <w:pPr>
        <w:spacing w:line="360" w:lineRule="auto"/>
        <w:ind w:firstLine="420" w:firstLineChars="200"/>
        <w:rPr>
          <w:rFonts w:ascii="仿宋" w:hAnsi="仿宋" w:eastAsia="仿宋" w:cs="仿宋"/>
          <w:szCs w:val="24"/>
        </w:rPr>
      </w:pPr>
      <w:r>
        <w:rPr>
          <w:rFonts w:ascii="仿宋" w:hAnsi="仿宋" w:eastAsia="仿宋" w:cs="仿宋"/>
          <w:szCs w:val="24"/>
        </w:rPr>
        <w:t>（1）西勘小区（西影路46号），属于大雁塔街办。</w:t>
      </w:r>
    </w:p>
    <w:p w14:paraId="1D7960AD">
      <w:pPr>
        <w:spacing w:line="360" w:lineRule="auto"/>
        <w:ind w:firstLine="420" w:firstLineChars="200"/>
        <w:rPr>
          <w:rFonts w:ascii="仿宋" w:hAnsi="仿宋" w:eastAsia="仿宋" w:cs="仿宋"/>
          <w:szCs w:val="24"/>
        </w:rPr>
      </w:pPr>
      <w:r>
        <w:rPr>
          <w:rFonts w:ascii="仿宋" w:hAnsi="仿宋" w:eastAsia="仿宋" w:cs="仿宋"/>
          <w:szCs w:val="24"/>
        </w:rPr>
        <w:t>（2）城南锦绣（西延路70号），属于大雁塔街办。</w:t>
      </w:r>
    </w:p>
    <w:p w14:paraId="0B34323E">
      <w:pPr>
        <w:spacing w:line="360" w:lineRule="auto"/>
        <w:ind w:firstLine="420" w:firstLineChars="200"/>
        <w:rPr>
          <w:rFonts w:ascii="仿宋" w:hAnsi="仿宋" w:eastAsia="仿宋" w:cs="仿宋"/>
          <w:szCs w:val="24"/>
        </w:rPr>
      </w:pPr>
      <w:r>
        <w:rPr>
          <w:rFonts w:ascii="仿宋" w:hAnsi="仿宋" w:eastAsia="仿宋" w:cs="仿宋"/>
          <w:szCs w:val="24"/>
        </w:rPr>
        <w:t>（3）颖园小区（西影路186号），属于大雁塔街办。</w:t>
      </w:r>
    </w:p>
    <w:p w14:paraId="035E0E87">
      <w:pPr>
        <w:spacing w:line="360" w:lineRule="auto"/>
        <w:ind w:firstLine="420" w:firstLineChars="200"/>
        <w:rPr>
          <w:rFonts w:ascii="仿宋" w:hAnsi="仿宋" w:eastAsia="仿宋" w:cs="仿宋"/>
          <w:szCs w:val="24"/>
        </w:rPr>
      </w:pPr>
      <w:r>
        <w:rPr>
          <w:rFonts w:ascii="仿宋" w:hAnsi="仿宋" w:eastAsia="仿宋" w:cs="仿宋"/>
          <w:szCs w:val="24"/>
        </w:rPr>
        <w:t>（4）宝枫佳苑（雁塔区西延路68号），属于大雁塔街办。</w:t>
      </w:r>
    </w:p>
    <w:p w14:paraId="0EE44970">
      <w:pPr>
        <w:spacing w:line="360" w:lineRule="auto"/>
        <w:ind w:firstLine="420" w:firstLineChars="200"/>
        <w:rPr>
          <w:rFonts w:ascii="仿宋" w:hAnsi="仿宋" w:eastAsia="仿宋" w:cs="仿宋"/>
          <w:szCs w:val="24"/>
        </w:rPr>
      </w:pPr>
      <w:r>
        <w:rPr>
          <w:rFonts w:ascii="仿宋" w:hAnsi="仿宋" w:eastAsia="仿宋" w:cs="仿宋"/>
          <w:szCs w:val="24"/>
        </w:rPr>
        <w:t>（5）情报所家属院（乐游路60号），属于大雁塔街办。</w:t>
      </w:r>
    </w:p>
    <w:p w14:paraId="07A1EA0F">
      <w:pPr>
        <w:spacing w:line="360" w:lineRule="auto"/>
        <w:ind w:firstLine="420" w:firstLineChars="200"/>
        <w:rPr>
          <w:rFonts w:ascii="仿宋" w:hAnsi="仿宋" w:eastAsia="仿宋" w:cs="仿宋"/>
          <w:szCs w:val="24"/>
        </w:rPr>
      </w:pPr>
      <w:r>
        <w:rPr>
          <w:rFonts w:ascii="仿宋" w:hAnsi="仿宋" w:eastAsia="仿宋" w:cs="仿宋"/>
          <w:szCs w:val="24"/>
        </w:rPr>
        <w:t>（6）地震局家属院（西影路316号），属于大雁塔街办。</w:t>
      </w:r>
    </w:p>
    <w:p w14:paraId="7B6F15E7">
      <w:pPr>
        <w:spacing w:line="360" w:lineRule="auto"/>
        <w:ind w:firstLine="420" w:firstLineChars="200"/>
        <w:rPr>
          <w:rFonts w:ascii="仿宋" w:hAnsi="仿宋" w:eastAsia="仿宋" w:cs="仿宋"/>
          <w:szCs w:val="24"/>
        </w:rPr>
      </w:pPr>
      <w:r>
        <w:rPr>
          <w:rFonts w:ascii="仿宋" w:hAnsi="仿宋" w:eastAsia="仿宋" w:cs="仿宋"/>
          <w:szCs w:val="24"/>
        </w:rPr>
        <w:t>（7）西安文理学院家属院翠华路住宅区（翠华北路393号），属于大雁塔街办。</w:t>
      </w:r>
    </w:p>
    <w:p w14:paraId="0CE6707C">
      <w:pPr>
        <w:spacing w:line="360" w:lineRule="auto"/>
        <w:ind w:firstLine="420" w:firstLineChars="200"/>
        <w:rPr>
          <w:rFonts w:ascii="仿宋" w:hAnsi="仿宋" w:eastAsia="仿宋" w:cs="仿宋"/>
          <w:szCs w:val="24"/>
        </w:rPr>
      </w:pPr>
      <w:r>
        <w:rPr>
          <w:rFonts w:ascii="仿宋" w:hAnsi="仿宋" w:eastAsia="仿宋" w:cs="仿宋"/>
          <w:szCs w:val="24"/>
        </w:rPr>
        <w:t>（8）质检所家属院（后村西路），属于大雁塔街办。</w:t>
      </w:r>
    </w:p>
    <w:p w14:paraId="276FC126">
      <w:pPr>
        <w:spacing w:line="360" w:lineRule="auto"/>
        <w:ind w:firstLine="420" w:firstLineChars="200"/>
        <w:rPr>
          <w:rFonts w:ascii="仿宋" w:hAnsi="仿宋" w:eastAsia="仿宋" w:cs="仿宋"/>
          <w:szCs w:val="24"/>
        </w:rPr>
      </w:pPr>
      <w:r>
        <w:rPr>
          <w:rFonts w:ascii="仿宋" w:hAnsi="仿宋" w:eastAsia="仿宋" w:cs="仿宋"/>
          <w:szCs w:val="24"/>
        </w:rPr>
        <w:t>（9）45中学家属院（西影路396号），属于大雁塔街办。</w:t>
      </w:r>
    </w:p>
    <w:p w14:paraId="71D2107F">
      <w:pPr>
        <w:spacing w:line="360" w:lineRule="auto"/>
        <w:ind w:firstLine="420" w:firstLineChars="200"/>
        <w:rPr>
          <w:rFonts w:ascii="仿宋" w:hAnsi="仿宋" w:eastAsia="仿宋" w:cs="仿宋"/>
          <w:szCs w:val="24"/>
        </w:rPr>
      </w:pPr>
      <w:r>
        <w:rPr>
          <w:rFonts w:ascii="仿宋" w:hAnsi="仿宋" w:eastAsia="仿宋" w:cs="仿宋"/>
          <w:szCs w:val="24"/>
        </w:rPr>
        <w:t>（10）西安科技大学东院（雁塔区西影路41号），属于大雁塔街办。</w:t>
      </w:r>
    </w:p>
    <w:p w14:paraId="5A8C9003">
      <w:pPr>
        <w:spacing w:line="360" w:lineRule="auto"/>
        <w:ind w:firstLine="420" w:firstLineChars="200"/>
        <w:rPr>
          <w:rFonts w:ascii="仿宋" w:hAnsi="仿宋" w:eastAsia="仿宋" w:cs="仿宋"/>
          <w:szCs w:val="24"/>
        </w:rPr>
      </w:pPr>
      <w:r>
        <w:rPr>
          <w:rFonts w:ascii="仿宋" w:hAnsi="仿宋" w:eastAsia="仿宋" w:cs="仿宋"/>
          <w:szCs w:val="24"/>
        </w:rPr>
        <w:t>（11）曲江颐景(雁南二路与慈恩西路交叉西北角)，属于大雁塔街办。</w:t>
      </w:r>
    </w:p>
    <w:p w14:paraId="20AE0F52">
      <w:pPr>
        <w:spacing w:line="360" w:lineRule="auto"/>
        <w:ind w:firstLine="420" w:firstLineChars="200"/>
        <w:rPr>
          <w:rFonts w:ascii="仿宋" w:hAnsi="仿宋" w:eastAsia="仿宋" w:cs="仿宋"/>
          <w:szCs w:val="24"/>
        </w:rPr>
      </w:pPr>
      <w:r>
        <w:rPr>
          <w:rFonts w:ascii="仿宋" w:hAnsi="仿宋" w:eastAsia="仿宋" w:cs="仿宋"/>
          <w:szCs w:val="24"/>
        </w:rPr>
        <w:t>（12）第一医院家属院（乐游路7号），属于大雁塔街办。</w:t>
      </w:r>
    </w:p>
    <w:p w14:paraId="1CAFD5E1">
      <w:pPr>
        <w:spacing w:line="360" w:lineRule="auto"/>
        <w:ind w:firstLine="420" w:firstLineChars="200"/>
        <w:rPr>
          <w:rFonts w:ascii="仿宋" w:hAnsi="仿宋" w:eastAsia="仿宋" w:cs="仿宋"/>
          <w:szCs w:val="24"/>
        </w:rPr>
      </w:pPr>
      <w:r>
        <w:rPr>
          <w:rFonts w:ascii="仿宋" w:hAnsi="仿宋" w:eastAsia="仿宋" w:cs="仿宋"/>
          <w:szCs w:val="24"/>
        </w:rPr>
        <w:t>（13）石化院小区（西延路45号），属于大雁塔街办。</w:t>
      </w:r>
    </w:p>
    <w:p w14:paraId="6C3B7893">
      <w:pPr>
        <w:spacing w:line="360" w:lineRule="auto"/>
        <w:ind w:firstLine="420" w:firstLineChars="200"/>
        <w:rPr>
          <w:rFonts w:ascii="仿宋" w:hAnsi="仿宋" w:eastAsia="仿宋" w:cs="仿宋"/>
          <w:szCs w:val="24"/>
        </w:rPr>
      </w:pPr>
      <w:r>
        <w:rPr>
          <w:rFonts w:ascii="仿宋" w:hAnsi="仿宋" w:eastAsia="仿宋" w:cs="仿宋"/>
          <w:szCs w:val="24"/>
        </w:rPr>
        <w:t>（14）省考古所家属院（乐游路31号），属于大雁塔街办。</w:t>
      </w:r>
    </w:p>
    <w:p w14:paraId="52A68A88">
      <w:pPr>
        <w:spacing w:line="360" w:lineRule="auto"/>
        <w:ind w:firstLine="420" w:firstLineChars="200"/>
        <w:rPr>
          <w:rFonts w:ascii="仿宋" w:hAnsi="仿宋" w:eastAsia="仿宋" w:cs="仿宋"/>
          <w:szCs w:val="24"/>
        </w:rPr>
      </w:pPr>
      <w:r>
        <w:rPr>
          <w:rFonts w:ascii="仿宋" w:hAnsi="仿宋" w:eastAsia="仿宋" w:cs="仿宋"/>
          <w:szCs w:val="24"/>
        </w:rPr>
        <w:t>（15）正和小区（西影路486号），属于大雁塔街办。</w:t>
      </w:r>
    </w:p>
    <w:p w14:paraId="7ECBBC6E">
      <w:pPr>
        <w:spacing w:line="360" w:lineRule="auto"/>
        <w:ind w:firstLine="420" w:firstLineChars="200"/>
        <w:rPr>
          <w:rFonts w:ascii="仿宋" w:hAnsi="仿宋" w:eastAsia="仿宋" w:cs="仿宋"/>
          <w:szCs w:val="24"/>
        </w:rPr>
      </w:pPr>
      <w:r>
        <w:rPr>
          <w:rFonts w:ascii="仿宋" w:hAnsi="仿宋" w:eastAsia="仿宋" w:cs="仿宋"/>
          <w:szCs w:val="24"/>
        </w:rPr>
        <w:t>（16）陕师大附中家属院（雁塔西路10号），属于大雁塔街办。</w:t>
      </w:r>
    </w:p>
    <w:p w14:paraId="6A42891C">
      <w:pPr>
        <w:spacing w:line="360" w:lineRule="auto"/>
        <w:ind w:firstLine="420" w:firstLineChars="200"/>
        <w:rPr>
          <w:rFonts w:ascii="仿宋" w:hAnsi="仿宋" w:eastAsia="仿宋" w:cs="仿宋"/>
          <w:szCs w:val="24"/>
        </w:rPr>
      </w:pPr>
      <w:r>
        <w:rPr>
          <w:rFonts w:ascii="仿宋" w:hAnsi="仿宋" w:eastAsia="仿宋" w:cs="仿宋"/>
          <w:szCs w:val="24"/>
        </w:rPr>
        <w:t>（17）雁塔分局家属院（乐游路4号），属于大雁塔街办。</w:t>
      </w:r>
    </w:p>
    <w:p w14:paraId="3C0702A2">
      <w:pPr>
        <w:spacing w:line="360" w:lineRule="auto"/>
        <w:ind w:firstLine="420" w:firstLineChars="200"/>
        <w:rPr>
          <w:rFonts w:ascii="仿宋" w:hAnsi="仿宋" w:eastAsia="仿宋" w:cs="仿宋"/>
          <w:szCs w:val="24"/>
        </w:rPr>
      </w:pPr>
      <w:r>
        <w:rPr>
          <w:rFonts w:ascii="仿宋" w:hAnsi="仿宋" w:eastAsia="仿宋" w:cs="仿宋"/>
          <w:szCs w:val="24"/>
        </w:rPr>
        <w:t>（18）电信四所北院（翠华北路269号），属于大雁塔街办。</w:t>
      </w:r>
    </w:p>
    <w:p w14:paraId="7506F16A">
      <w:pPr>
        <w:spacing w:line="360" w:lineRule="auto"/>
        <w:ind w:firstLine="420" w:firstLineChars="200"/>
        <w:rPr>
          <w:rFonts w:ascii="仿宋" w:hAnsi="仿宋" w:eastAsia="仿宋" w:cs="仿宋"/>
          <w:szCs w:val="24"/>
        </w:rPr>
      </w:pPr>
      <w:r>
        <w:rPr>
          <w:rFonts w:ascii="仿宋" w:hAnsi="仿宋" w:eastAsia="仿宋" w:cs="仿宋"/>
          <w:szCs w:val="24"/>
        </w:rPr>
        <w:t>（19）电信四所南院（翠华路226号），属于大雁塔街办。</w:t>
      </w:r>
    </w:p>
    <w:p w14:paraId="3A8DE654">
      <w:pPr>
        <w:spacing w:line="360" w:lineRule="auto"/>
        <w:ind w:firstLine="420" w:firstLineChars="200"/>
        <w:rPr>
          <w:rFonts w:ascii="仿宋" w:hAnsi="仿宋" w:eastAsia="仿宋" w:cs="仿宋"/>
          <w:szCs w:val="24"/>
        </w:rPr>
      </w:pPr>
      <w:r>
        <w:rPr>
          <w:rFonts w:ascii="仿宋" w:hAnsi="仿宋" w:eastAsia="仿宋" w:cs="仿宋"/>
          <w:szCs w:val="24"/>
        </w:rPr>
        <w:t>（20）西勘新苑(西影路338A)，属于大雁塔街办。</w:t>
      </w:r>
    </w:p>
    <w:p w14:paraId="44B3FDF3">
      <w:pPr>
        <w:spacing w:line="360" w:lineRule="auto"/>
        <w:ind w:firstLine="420" w:firstLineChars="200"/>
        <w:rPr>
          <w:rFonts w:ascii="仿宋" w:hAnsi="仿宋" w:eastAsia="仿宋" w:cs="仿宋"/>
          <w:szCs w:val="24"/>
        </w:rPr>
      </w:pPr>
      <w:r>
        <w:rPr>
          <w:rFonts w:ascii="仿宋" w:hAnsi="仿宋" w:eastAsia="仿宋" w:cs="仿宋"/>
          <w:szCs w:val="24"/>
        </w:rPr>
        <w:t>（21）微生物研究所（西影路76号），属于大雁塔街办。</w:t>
      </w:r>
    </w:p>
    <w:p w14:paraId="3BF552AC">
      <w:pPr>
        <w:spacing w:line="360" w:lineRule="auto"/>
        <w:ind w:firstLine="420" w:firstLineChars="200"/>
        <w:rPr>
          <w:rFonts w:ascii="仿宋" w:hAnsi="仿宋" w:eastAsia="仿宋" w:cs="仿宋"/>
          <w:szCs w:val="24"/>
        </w:rPr>
      </w:pPr>
      <w:r>
        <w:rPr>
          <w:rFonts w:ascii="仿宋" w:hAnsi="仿宋" w:eastAsia="仿宋" w:cs="仿宋"/>
          <w:szCs w:val="24"/>
        </w:rPr>
        <w:t>（22）中交二公局职工医院家属院（含光南路150号），属于小寨路街办。</w:t>
      </w:r>
    </w:p>
    <w:p w14:paraId="08E76B1F">
      <w:pPr>
        <w:spacing w:line="360" w:lineRule="auto"/>
        <w:ind w:firstLine="420" w:firstLineChars="200"/>
        <w:rPr>
          <w:rFonts w:ascii="仿宋" w:hAnsi="仿宋" w:eastAsia="仿宋" w:cs="仿宋"/>
          <w:szCs w:val="24"/>
        </w:rPr>
      </w:pPr>
      <w:r>
        <w:rPr>
          <w:rFonts w:ascii="仿宋" w:hAnsi="仿宋" w:eastAsia="仿宋" w:cs="仿宋"/>
          <w:szCs w:val="24"/>
        </w:rPr>
        <w:t>（23）回收公司家属院（翠华北路393号），属于大雁塔街办。</w:t>
      </w:r>
    </w:p>
    <w:p w14:paraId="410E88EA">
      <w:pPr>
        <w:spacing w:line="360" w:lineRule="auto"/>
        <w:ind w:firstLine="420" w:firstLineChars="200"/>
        <w:rPr>
          <w:rFonts w:ascii="仿宋" w:hAnsi="仿宋" w:eastAsia="仿宋" w:cs="仿宋"/>
          <w:szCs w:val="24"/>
        </w:rPr>
      </w:pPr>
      <w:r>
        <w:rPr>
          <w:rFonts w:ascii="仿宋" w:hAnsi="仿宋" w:eastAsia="仿宋" w:cs="仿宋"/>
          <w:szCs w:val="24"/>
        </w:rPr>
        <w:t>（24）雅荷翠华小区（翠华路300号），属于大雁塔街办。</w:t>
      </w:r>
    </w:p>
    <w:p w14:paraId="6B8AB249">
      <w:pPr>
        <w:spacing w:line="360" w:lineRule="auto"/>
        <w:ind w:firstLine="420" w:firstLineChars="200"/>
        <w:rPr>
          <w:rFonts w:ascii="仿宋" w:hAnsi="仿宋" w:eastAsia="仿宋" w:cs="仿宋"/>
          <w:szCs w:val="24"/>
        </w:rPr>
      </w:pPr>
      <w:r>
        <w:rPr>
          <w:rFonts w:ascii="仿宋" w:hAnsi="仿宋" w:eastAsia="仿宋" w:cs="仿宋"/>
          <w:szCs w:val="24"/>
        </w:rPr>
        <w:t>（25）药材公司家属院（翠华北路286号），属于大雁塔街办。</w:t>
      </w:r>
    </w:p>
    <w:p w14:paraId="16D517EB">
      <w:pPr>
        <w:spacing w:line="360" w:lineRule="auto"/>
        <w:ind w:firstLine="420" w:firstLineChars="200"/>
        <w:rPr>
          <w:rFonts w:ascii="仿宋" w:hAnsi="仿宋" w:eastAsia="仿宋" w:cs="仿宋"/>
          <w:szCs w:val="24"/>
        </w:rPr>
      </w:pPr>
      <w:r>
        <w:rPr>
          <w:rFonts w:ascii="仿宋" w:hAnsi="仿宋" w:eastAsia="仿宋" w:cs="仿宋"/>
          <w:szCs w:val="24"/>
        </w:rPr>
        <w:t>（26）西安饭庄（乐游路9号），属于大雁塔街办。</w:t>
      </w:r>
    </w:p>
    <w:p w14:paraId="69D30622">
      <w:pPr>
        <w:spacing w:line="360" w:lineRule="auto"/>
        <w:ind w:firstLine="420" w:firstLineChars="200"/>
        <w:rPr>
          <w:rFonts w:ascii="仿宋" w:hAnsi="仿宋" w:eastAsia="仿宋" w:cs="仿宋"/>
          <w:szCs w:val="24"/>
        </w:rPr>
      </w:pPr>
      <w:r>
        <w:rPr>
          <w:rFonts w:ascii="仿宋" w:hAnsi="仿宋" w:eastAsia="仿宋" w:cs="仿宋"/>
          <w:szCs w:val="24"/>
        </w:rPr>
        <w:t>（27）科学器材西院(乐游路8号)，属于大雁塔街办。</w:t>
      </w:r>
    </w:p>
    <w:p w14:paraId="45DD829D">
      <w:pPr>
        <w:spacing w:line="360" w:lineRule="auto"/>
        <w:ind w:firstLine="420" w:firstLineChars="200"/>
        <w:rPr>
          <w:rFonts w:ascii="仿宋" w:hAnsi="仿宋" w:eastAsia="仿宋" w:cs="仿宋"/>
          <w:szCs w:val="24"/>
        </w:rPr>
      </w:pPr>
      <w:r>
        <w:rPr>
          <w:rFonts w:ascii="仿宋" w:hAnsi="仿宋" w:eastAsia="仿宋" w:cs="仿宋"/>
          <w:szCs w:val="24"/>
        </w:rPr>
        <w:t>（28）沙坡检察院（西影路563号），属于大雁塔街办。</w:t>
      </w:r>
    </w:p>
    <w:p w14:paraId="76688407">
      <w:pPr>
        <w:spacing w:line="360" w:lineRule="auto"/>
        <w:ind w:firstLine="420" w:firstLineChars="200"/>
        <w:rPr>
          <w:rFonts w:ascii="仿宋" w:hAnsi="仿宋" w:eastAsia="仿宋" w:cs="仿宋"/>
          <w:szCs w:val="24"/>
        </w:rPr>
      </w:pPr>
      <w:r>
        <w:rPr>
          <w:rFonts w:ascii="仿宋" w:hAnsi="仿宋" w:eastAsia="仿宋" w:cs="仿宋"/>
          <w:szCs w:val="24"/>
        </w:rPr>
        <w:t>（29）区政府家属院（育才路238号），属于大雁塔街办。</w:t>
      </w:r>
    </w:p>
    <w:p w14:paraId="1973E517">
      <w:pPr>
        <w:spacing w:line="360" w:lineRule="auto"/>
        <w:ind w:firstLine="420" w:firstLineChars="200"/>
        <w:rPr>
          <w:rFonts w:ascii="仿宋" w:hAnsi="仿宋" w:eastAsia="仿宋" w:cs="仿宋"/>
          <w:szCs w:val="24"/>
        </w:rPr>
      </w:pPr>
      <w:r>
        <w:rPr>
          <w:rFonts w:ascii="仿宋" w:hAnsi="仿宋" w:eastAsia="仿宋" w:cs="仿宋"/>
          <w:szCs w:val="24"/>
        </w:rPr>
        <w:t>（30）曲江大队家属院(西影路605号)，属于大雁塔街办。</w:t>
      </w:r>
    </w:p>
    <w:p w14:paraId="10C3A8CA">
      <w:pPr>
        <w:spacing w:line="360" w:lineRule="auto"/>
        <w:ind w:firstLine="420" w:firstLineChars="200"/>
        <w:rPr>
          <w:rFonts w:ascii="仿宋" w:hAnsi="仿宋" w:eastAsia="仿宋" w:cs="仿宋"/>
          <w:szCs w:val="24"/>
        </w:rPr>
      </w:pPr>
      <w:r>
        <w:rPr>
          <w:rFonts w:ascii="仿宋" w:hAnsi="仿宋" w:eastAsia="仿宋" w:cs="仿宋"/>
          <w:szCs w:val="24"/>
        </w:rPr>
        <w:t>（31）区卫生局家属院（翠华北路345号），属于大雁塔街办。</w:t>
      </w:r>
    </w:p>
    <w:p w14:paraId="50347318">
      <w:pPr>
        <w:spacing w:line="360" w:lineRule="auto"/>
        <w:ind w:firstLine="420" w:firstLineChars="200"/>
        <w:rPr>
          <w:rFonts w:ascii="仿宋" w:hAnsi="仿宋" w:eastAsia="仿宋" w:cs="仿宋"/>
          <w:szCs w:val="24"/>
        </w:rPr>
      </w:pPr>
      <w:r>
        <w:rPr>
          <w:rFonts w:ascii="仿宋" w:hAnsi="仿宋" w:eastAsia="仿宋" w:cs="仿宋"/>
          <w:szCs w:val="24"/>
        </w:rPr>
        <w:t>（32）大唐不夜城社区管委会家属院（雁南一路5号），属于大雁塔街办。</w:t>
      </w:r>
    </w:p>
    <w:p w14:paraId="31594729">
      <w:pPr>
        <w:spacing w:line="360" w:lineRule="auto"/>
        <w:ind w:firstLine="420" w:firstLineChars="200"/>
        <w:rPr>
          <w:rFonts w:ascii="仿宋" w:hAnsi="仿宋" w:eastAsia="仿宋" w:cs="仿宋"/>
          <w:szCs w:val="24"/>
        </w:rPr>
      </w:pPr>
      <w:r>
        <w:rPr>
          <w:rFonts w:ascii="仿宋" w:hAnsi="仿宋" w:eastAsia="仿宋" w:cs="仿宋"/>
          <w:szCs w:val="24"/>
        </w:rPr>
        <w:t>（33）电信四所新院（慈恩西路陕师大附中南侧），属于大雁塔街办。</w:t>
      </w:r>
    </w:p>
    <w:p w14:paraId="48D72327">
      <w:pPr>
        <w:spacing w:line="360" w:lineRule="auto"/>
        <w:ind w:firstLine="420" w:firstLineChars="200"/>
        <w:rPr>
          <w:rFonts w:ascii="仿宋" w:hAnsi="仿宋" w:eastAsia="仿宋" w:cs="仿宋"/>
          <w:szCs w:val="24"/>
        </w:rPr>
      </w:pPr>
      <w:r>
        <w:rPr>
          <w:rFonts w:ascii="仿宋" w:hAnsi="仿宋" w:eastAsia="仿宋" w:cs="仿宋"/>
          <w:szCs w:val="24"/>
        </w:rPr>
        <w:t>（34）大方西院（雁塔区西影路63号），属于大雁塔街办。</w:t>
      </w:r>
    </w:p>
    <w:p w14:paraId="6AD7A57B">
      <w:pPr>
        <w:spacing w:line="360" w:lineRule="auto"/>
        <w:ind w:firstLine="420" w:firstLineChars="200"/>
        <w:rPr>
          <w:rFonts w:ascii="仿宋" w:hAnsi="仿宋" w:eastAsia="仿宋" w:cs="仿宋"/>
          <w:szCs w:val="24"/>
        </w:rPr>
      </w:pPr>
      <w:r>
        <w:rPr>
          <w:rFonts w:ascii="仿宋" w:hAnsi="仿宋" w:eastAsia="仿宋" w:cs="仿宋"/>
          <w:szCs w:val="24"/>
        </w:rPr>
        <w:t>（35）风景区第一生活小区（雁塔区西影路57号），属于大雁塔街办。</w:t>
      </w:r>
    </w:p>
    <w:p w14:paraId="361CB9A6">
      <w:pPr>
        <w:spacing w:line="360" w:lineRule="auto"/>
        <w:ind w:firstLine="420" w:firstLineChars="200"/>
        <w:rPr>
          <w:rFonts w:ascii="仿宋" w:hAnsi="仿宋" w:eastAsia="仿宋" w:cs="仿宋"/>
          <w:szCs w:val="24"/>
        </w:rPr>
      </w:pPr>
      <w:r>
        <w:rPr>
          <w:rFonts w:ascii="仿宋" w:hAnsi="仿宋" w:eastAsia="仿宋" w:cs="仿宋"/>
          <w:szCs w:val="24"/>
        </w:rPr>
        <w:t>（36）大方东小区（西影路58号），属于大雁塔街办。</w:t>
      </w:r>
    </w:p>
    <w:p w14:paraId="6E3C81CF">
      <w:pPr>
        <w:spacing w:line="360" w:lineRule="auto"/>
        <w:ind w:firstLine="420" w:firstLineChars="200"/>
        <w:rPr>
          <w:rFonts w:ascii="仿宋" w:hAnsi="仿宋" w:eastAsia="仿宋" w:cs="仿宋"/>
          <w:szCs w:val="24"/>
        </w:rPr>
      </w:pPr>
      <w:r>
        <w:rPr>
          <w:rFonts w:ascii="仿宋" w:hAnsi="仿宋" w:eastAsia="仿宋" w:cs="仿宋"/>
          <w:szCs w:val="24"/>
        </w:rPr>
        <w:t>（37）雁影华庭小区（西影路63号），属于大雁塔街办。</w:t>
      </w:r>
    </w:p>
    <w:p w14:paraId="62976CF3">
      <w:pPr>
        <w:spacing w:line="360" w:lineRule="auto"/>
        <w:ind w:firstLine="420" w:firstLineChars="200"/>
        <w:rPr>
          <w:rFonts w:ascii="仿宋" w:hAnsi="仿宋" w:eastAsia="仿宋" w:cs="仿宋"/>
          <w:szCs w:val="24"/>
        </w:rPr>
      </w:pPr>
      <w:r>
        <w:rPr>
          <w:rFonts w:ascii="仿宋" w:hAnsi="仿宋" w:eastAsia="仿宋" w:cs="仿宋"/>
          <w:szCs w:val="24"/>
        </w:rPr>
        <w:t>（38）紫竹花园小区（二环南路西段108号），属于小寨路街办。</w:t>
      </w:r>
    </w:p>
    <w:p w14:paraId="1E0DA8B2">
      <w:pPr>
        <w:spacing w:line="360" w:lineRule="auto"/>
        <w:ind w:firstLine="420" w:firstLineChars="200"/>
        <w:rPr>
          <w:rFonts w:ascii="仿宋" w:hAnsi="仿宋" w:eastAsia="仿宋" w:cs="仿宋"/>
          <w:szCs w:val="24"/>
        </w:rPr>
      </w:pPr>
      <w:r>
        <w:rPr>
          <w:rFonts w:ascii="仿宋" w:hAnsi="仿宋" w:eastAsia="仿宋" w:cs="仿宋"/>
          <w:szCs w:val="24"/>
        </w:rPr>
        <w:t>（39）长安大学家属院东区（雁塔区育才路81号），属于小寨路街办。</w:t>
      </w:r>
    </w:p>
    <w:p w14:paraId="0ADEB91A">
      <w:pPr>
        <w:spacing w:line="360" w:lineRule="auto"/>
        <w:ind w:firstLine="420" w:firstLineChars="200"/>
        <w:rPr>
          <w:rFonts w:ascii="仿宋" w:hAnsi="仿宋" w:eastAsia="仿宋" w:cs="仿宋"/>
          <w:szCs w:val="24"/>
        </w:rPr>
      </w:pPr>
      <w:r>
        <w:rPr>
          <w:rFonts w:ascii="仿宋" w:hAnsi="仿宋" w:eastAsia="仿宋" w:cs="仿宋"/>
          <w:szCs w:val="24"/>
        </w:rPr>
        <w:t>（40）长安大学小寨校区（雁塔区长安中路161号），属于小寨路街办。</w:t>
      </w:r>
    </w:p>
    <w:p w14:paraId="0842B728">
      <w:pPr>
        <w:spacing w:line="360" w:lineRule="auto"/>
        <w:ind w:firstLine="420" w:firstLineChars="200"/>
        <w:rPr>
          <w:rFonts w:ascii="仿宋" w:hAnsi="仿宋" w:eastAsia="仿宋" w:cs="仿宋"/>
          <w:szCs w:val="24"/>
        </w:rPr>
      </w:pPr>
      <w:r>
        <w:rPr>
          <w:rFonts w:ascii="仿宋" w:hAnsi="仿宋" w:eastAsia="仿宋" w:cs="仿宋"/>
          <w:szCs w:val="24"/>
        </w:rPr>
        <w:t>（41）长安大学雁塔校区西家属院（雁塔区育才路115号），属于小寨路街办。</w:t>
      </w:r>
    </w:p>
    <w:p w14:paraId="431E2723">
      <w:pPr>
        <w:spacing w:line="360" w:lineRule="auto"/>
        <w:ind w:firstLine="420" w:firstLineChars="200"/>
        <w:rPr>
          <w:rFonts w:ascii="仿宋" w:hAnsi="仿宋" w:eastAsia="仿宋" w:cs="仿宋"/>
          <w:szCs w:val="24"/>
        </w:rPr>
      </w:pPr>
      <w:r>
        <w:rPr>
          <w:rFonts w:ascii="仿宋" w:hAnsi="仿宋" w:eastAsia="仿宋" w:cs="仿宋"/>
          <w:szCs w:val="24"/>
        </w:rPr>
        <w:t>（42）长安大学崇业路南院北院（雁塔区崇业路9号、10号），属于小寨路街办。</w:t>
      </w:r>
    </w:p>
    <w:p w14:paraId="17F35E86">
      <w:pPr>
        <w:spacing w:line="360" w:lineRule="auto"/>
        <w:ind w:firstLine="420" w:firstLineChars="200"/>
        <w:rPr>
          <w:rFonts w:ascii="仿宋" w:hAnsi="仿宋" w:eastAsia="仿宋" w:cs="仿宋"/>
          <w:szCs w:val="24"/>
        </w:rPr>
      </w:pPr>
      <w:r>
        <w:rPr>
          <w:rFonts w:ascii="仿宋" w:hAnsi="仿宋" w:eastAsia="仿宋" w:cs="仿宋"/>
          <w:szCs w:val="24"/>
        </w:rPr>
        <w:t>（43）第一汽车运输公司青松路小区（青松路3号），属于长延堡街办。</w:t>
      </w:r>
    </w:p>
    <w:p w14:paraId="2DE7D2B3">
      <w:pPr>
        <w:spacing w:line="360" w:lineRule="auto"/>
        <w:ind w:firstLine="420" w:firstLineChars="200"/>
        <w:rPr>
          <w:rFonts w:ascii="仿宋" w:hAnsi="仿宋" w:eastAsia="仿宋" w:cs="仿宋"/>
          <w:szCs w:val="24"/>
        </w:rPr>
      </w:pPr>
      <w:r>
        <w:rPr>
          <w:rFonts w:ascii="仿宋" w:hAnsi="仿宋" w:eastAsia="仿宋" w:cs="仿宋"/>
          <w:szCs w:val="24"/>
        </w:rPr>
        <w:t>（44）雁塔监狱家属院（二环南路东段50号），属于等驾坡街办。</w:t>
      </w:r>
    </w:p>
    <w:p w14:paraId="4D8B170E">
      <w:pPr>
        <w:spacing w:line="360" w:lineRule="auto"/>
        <w:ind w:firstLine="420" w:firstLineChars="200"/>
        <w:rPr>
          <w:rFonts w:ascii="仿宋" w:hAnsi="仿宋" w:eastAsia="仿宋" w:cs="仿宋"/>
          <w:szCs w:val="24"/>
        </w:rPr>
      </w:pPr>
      <w:r>
        <w:rPr>
          <w:rFonts w:ascii="仿宋" w:hAnsi="仿宋" w:eastAsia="仿宋" w:cs="仿宋"/>
          <w:szCs w:val="24"/>
        </w:rPr>
        <w:t>（45）电信十所家属院（雁塔西路12号），属于小寨路街办。</w:t>
      </w:r>
    </w:p>
    <w:p w14:paraId="40D3DBDB">
      <w:pPr>
        <w:spacing w:line="360" w:lineRule="auto"/>
        <w:ind w:firstLine="420" w:firstLineChars="200"/>
        <w:rPr>
          <w:rFonts w:ascii="仿宋" w:hAnsi="仿宋" w:eastAsia="仿宋" w:cs="仿宋"/>
          <w:szCs w:val="24"/>
        </w:rPr>
      </w:pPr>
      <w:r>
        <w:rPr>
          <w:rFonts w:ascii="仿宋" w:hAnsi="仿宋" w:eastAsia="仿宋" w:cs="仿宋"/>
          <w:szCs w:val="24"/>
        </w:rPr>
        <w:t>（46）陕西食品药品检验所家属院（朱雀大街421号），属于小寨路街办。</w:t>
      </w:r>
    </w:p>
    <w:p w14:paraId="561CE6A4">
      <w:pPr>
        <w:spacing w:line="360" w:lineRule="auto"/>
        <w:ind w:firstLine="420" w:firstLineChars="200"/>
        <w:rPr>
          <w:rFonts w:ascii="仿宋" w:hAnsi="仿宋" w:eastAsia="仿宋" w:cs="仿宋"/>
          <w:szCs w:val="24"/>
        </w:rPr>
      </w:pPr>
      <w:r>
        <w:rPr>
          <w:rFonts w:ascii="仿宋" w:hAnsi="仿宋" w:eastAsia="仿宋" w:cs="仿宋"/>
          <w:szCs w:val="24"/>
        </w:rPr>
        <w:t xml:space="preserve">      </w:t>
      </w:r>
      <w:r>
        <w:rPr>
          <w:rFonts w:hint="eastAsia" w:ascii="仿宋" w:hAnsi="仿宋" w:eastAsia="仿宋" w:cs="仿宋"/>
          <w:szCs w:val="24"/>
        </w:rPr>
        <w:t>共</w:t>
      </w:r>
      <w:r>
        <w:rPr>
          <w:rFonts w:ascii="仿宋" w:hAnsi="仿宋" w:eastAsia="仿宋" w:cs="仿宋"/>
          <w:szCs w:val="24"/>
        </w:rPr>
        <w:t>4</w:t>
      </w:r>
      <w:r>
        <w:rPr>
          <w:rFonts w:hint="eastAsia" w:ascii="仿宋" w:hAnsi="仿宋" w:eastAsia="仿宋" w:cs="仿宋"/>
          <w:szCs w:val="24"/>
        </w:rPr>
        <w:t>6个既有住宅小区对其雨污分流进行改造，改造内容包含雨水工程、污水工程、现状路面开挖及修复等。本项目的勘察内容即对上述小区的雨污分流工程进行岩土工程勘察。</w:t>
      </w:r>
    </w:p>
    <w:p w14:paraId="6B82FD11">
      <w:pPr>
        <w:adjustRightInd w:val="0"/>
        <w:snapToGrid w:val="0"/>
        <w:spacing w:line="360" w:lineRule="auto"/>
        <w:rPr>
          <w:rFonts w:ascii="仿宋" w:hAnsi="仿宋" w:eastAsia="仿宋" w:cs="仿宋"/>
          <w:b/>
          <w:bCs/>
          <w:szCs w:val="24"/>
        </w:rPr>
      </w:pPr>
      <w:r>
        <w:rPr>
          <w:rFonts w:hint="eastAsia" w:ascii="仿宋" w:hAnsi="仿宋" w:eastAsia="仿宋" w:cs="仿宋"/>
          <w:b/>
          <w:bCs/>
          <w:szCs w:val="24"/>
        </w:rPr>
        <w:t>二、要求</w:t>
      </w:r>
    </w:p>
    <w:p w14:paraId="4DEDC56E">
      <w:pPr>
        <w:spacing w:line="360" w:lineRule="auto"/>
        <w:ind w:firstLine="422" w:firstLineChars="200"/>
        <w:rPr>
          <w:rFonts w:ascii="仿宋" w:hAnsi="仿宋" w:eastAsia="仿宋" w:cs="仿宋"/>
          <w:b/>
          <w:bCs/>
          <w:szCs w:val="24"/>
        </w:rPr>
      </w:pPr>
      <w:r>
        <w:rPr>
          <w:rFonts w:hint="eastAsia" w:ascii="仿宋" w:hAnsi="仿宋" w:eastAsia="仿宋" w:cs="仿宋"/>
          <w:b/>
          <w:bCs/>
          <w:szCs w:val="24"/>
        </w:rPr>
        <w:t>（一）勘察阶段</w:t>
      </w:r>
    </w:p>
    <w:p w14:paraId="5565AD03">
      <w:pPr>
        <w:spacing w:line="360" w:lineRule="auto"/>
        <w:ind w:firstLine="420" w:firstLineChars="200"/>
        <w:rPr>
          <w:rFonts w:ascii="仿宋" w:hAnsi="仿宋" w:eastAsia="仿宋" w:cs="仿宋"/>
          <w:szCs w:val="24"/>
        </w:rPr>
      </w:pPr>
      <w:r>
        <w:rPr>
          <w:rFonts w:ascii="仿宋" w:hAnsi="仿宋" w:eastAsia="仿宋" w:cs="仿宋"/>
          <w:szCs w:val="24"/>
        </w:rPr>
        <w:t>本项目勘察报告编排为详细勘察阶段。</w:t>
      </w:r>
    </w:p>
    <w:p w14:paraId="49CF9EAA">
      <w:pPr>
        <w:spacing w:line="360" w:lineRule="auto"/>
        <w:ind w:firstLine="422" w:firstLineChars="200"/>
        <w:rPr>
          <w:rFonts w:ascii="仿宋" w:hAnsi="仿宋" w:eastAsia="仿宋" w:cs="仿宋"/>
          <w:b/>
          <w:bCs/>
          <w:szCs w:val="24"/>
        </w:rPr>
      </w:pPr>
      <w:r>
        <w:rPr>
          <w:rFonts w:hint="eastAsia" w:ascii="仿宋" w:hAnsi="仿宋" w:eastAsia="仿宋" w:cs="仿宋"/>
          <w:b/>
          <w:bCs/>
          <w:szCs w:val="24"/>
        </w:rPr>
        <w:t>（二）勘察技术要求</w:t>
      </w:r>
    </w:p>
    <w:p w14:paraId="7A601B81">
      <w:pPr>
        <w:spacing w:line="360" w:lineRule="auto"/>
        <w:ind w:firstLine="420" w:firstLineChars="200"/>
        <w:rPr>
          <w:rFonts w:ascii="仿宋" w:hAnsi="仿宋" w:eastAsia="仿宋" w:cs="仿宋"/>
          <w:szCs w:val="24"/>
        </w:rPr>
      </w:pPr>
      <w:r>
        <w:rPr>
          <w:rFonts w:hint="eastAsia" w:ascii="仿宋" w:hAnsi="仿宋" w:eastAsia="仿宋" w:cs="仿宋"/>
          <w:szCs w:val="24"/>
        </w:rPr>
        <w:t>1、查明地层结构和岩土工程特性。</w:t>
      </w:r>
    </w:p>
    <w:p w14:paraId="12DF6129">
      <w:pPr>
        <w:spacing w:line="360" w:lineRule="auto"/>
        <w:ind w:firstLine="420" w:firstLineChars="200"/>
        <w:rPr>
          <w:rFonts w:ascii="仿宋" w:hAnsi="仿宋" w:eastAsia="仿宋" w:cs="仿宋"/>
          <w:szCs w:val="24"/>
        </w:rPr>
      </w:pPr>
      <w:r>
        <w:rPr>
          <w:rFonts w:hint="eastAsia" w:ascii="仿宋" w:hAnsi="仿宋" w:eastAsia="仿宋" w:cs="仿宋"/>
          <w:szCs w:val="24"/>
        </w:rPr>
        <w:t>2、查明地下水埋藏条件和对工程建设的影响。</w:t>
      </w:r>
    </w:p>
    <w:p w14:paraId="12CBF3B2">
      <w:pPr>
        <w:spacing w:line="360" w:lineRule="auto"/>
        <w:ind w:firstLine="420" w:firstLineChars="200"/>
        <w:rPr>
          <w:rFonts w:ascii="仿宋" w:hAnsi="仿宋" w:eastAsia="仿宋" w:cs="仿宋"/>
          <w:szCs w:val="24"/>
        </w:rPr>
      </w:pPr>
      <w:r>
        <w:rPr>
          <w:rFonts w:hint="eastAsia" w:ascii="仿宋" w:hAnsi="仿宋" w:eastAsia="仿宋" w:cs="仿宋"/>
          <w:szCs w:val="24"/>
        </w:rPr>
        <w:t>3、评价环境水、土对建筑材料的腐蚀性。</w:t>
      </w:r>
    </w:p>
    <w:p w14:paraId="1DF97948">
      <w:pPr>
        <w:spacing w:line="360" w:lineRule="auto"/>
        <w:ind w:firstLine="420" w:firstLineChars="200"/>
        <w:rPr>
          <w:rFonts w:ascii="仿宋" w:hAnsi="仿宋" w:eastAsia="仿宋" w:cs="仿宋"/>
          <w:szCs w:val="24"/>
        </w:rPr>
      </w:pPr>
      <w:r>
        <w:rPr>
          <w:rFonts w:hint="eastAsia" w:ascii="仿宋" w:hAnsi="仿宋" w:eastAsia="仿宋" w:cs="仿宋"/>
          <w:szCs w:val="24"/>
        </w:rPr>
        <w:t>4、划分场地土类型和建筑场地类别评价场地地震效应。</w:t>
      </w:r>
    </w:p>
    <w:p w14:paraId="1624C567">
      <w:pPr>
        <w:spacing w:line="360" w:lineRule="auto"/>
        <w:ind w:firstLine="420" w:firstLineChars="200"/>
        <w:rPr>
          <w:rFonts w:ascii="仿宋" w:hAnsi="仿宋" w:eastAsia="仿宋" w:cs="仿宋"/>
          <w:szCs w:val="24"/>
        </w:rPr>
      </w:pPr>
      <w:r>
        <w:rPr>
          <w:rFonts w:hint="eastAsia" w:ascii="仿宋" w:hAnsi="仿宋" w:eastAsia="仿宋" w:cs="仿宋"/>
          <w:szCs w:val="24"/>
        </w:rPr>
        <w:t>5、评价地基稳定性，提供地基承载力等参数。</w:t>
      </w:r>
    </w:p>
    <w:p w14:paraId="6B9DF2E7">
      <w:pPr>
        <w:spacing w:line="360" w:lineRule="auto"/>
        <w:ind w:firstLine="420" w:firstLineChars="200"/>
        <w:rPr>
          <w:rFonts w:ascii="仿宋" w:hAnsi="仿宋" w:eastAsia="仿宋" w:cs="仿宋"/>
          <w:szCs w:val="24"/>
        </w:rPr>
      </w:pPr>
      <w:r>
        <w:rPr>
          <w:rFonts w:hint="eastAsia" w:ascii="仿宋" w:hAnsi="仿宋" w:eastAsia="仿宋" w:cs="仿宋"/>
          <w:szCs w:val="24"/>
        </w:rPr>
        <w:t>6、提出地基处理措施建议。</w:t>
      </w:r>
    </w:p>
    <w:p w14:paraId="590F6D8D">
      <w:pPr>
        <w:spacing w:line="360" w:lineRule="auto"/>
        <w:ind w:firstLine="420" w:firstLineChars="200"/>
        <w:rPr>
          <w:rFonts w:ascii="仿宋" w:hAnsi="仿宋" w:eastAsia="仿宋" w:cs="仿宋"/>
          <w:szCs w:val="24"/>
        </w:rPr>
      </w:pPr>
      <w:r>
        <w:rPr>
          <w:rFonts w:hint="eastAsia" w:ascii="仿宋" w:hAnsi="仿宋" w:eastAsia="仿宋" w:cs="仿宋"/>
          <w:szCs w:val="24"/>
        </w:rPr>
        <w:t>7、提供基坑开挖和支护的建议方案和岩土参数。</w:t>
      </w:r>
    </w:p>
    <w:p w14:paraId="6D8F3830">
      <w:pPr>
        <w:spacing w:line="360" w:lineRule="auto"/>
        <w:ind w:firstLine="420" w:firstLineChars="200"/>
        <w:rPr>
          <w:rFonts w:ascii="仿宋" w:hAnsi="仿宋" w:eastAsia="仿宋" w:cs="仿宋"/>
          <w:szCs w:val="24"/>
        </w:rPr>
      </w:pPr>
      <w:r>
        <w:rPr>
          <w:rFonts w:hint="eastAsia" w:ascii="仿宋" w:hAnsi="仿宋" w:eastAsia="仿宋" w:cs="仿宋"/>
          <w:szCs w:val="24"/>
        </w:rPr>
        <w:t>8、提供工程降水方案建议和水文地质参数。</w:t>
      </w:r>
    </w:p>
    <w:p w14:paraId="5C79EDDD">
      <w:pPr>
        <w:spacing w:line="360" w:lineRule="auto"/>
        <w:ind w:firstLine="420" w:firstLineChars="200"/>
        <w:rPr>
          <w:rFonts w:ascii="仿宋" w:hAnsi="仿宋" w:eastAsia="仿宋" w:cs="仿宋"/>
          <w:szCs w:val="24"/>
        </w:rPr>
      </w:pPr>
      <w:r>
        <w:rPr>
          <w:rFonts w:hint="eastAsia" w:ascii="仿宋" w:hAnsi="仿宋" w:eastAsia="仿宋" w:cs="仿宋"/>
          <w:szCs w:val="24"/>
        </w:rPr>
        <w:t>9、提供不良地质现象防治措施建议和岩土参数。</w:t>
      </w:r>
    </w:p>
    <w:p w14:paraId="6B2B7D16">
      <w:pPr>
        <w:spacing w:line="360" w:lineRule="auto"/>
        <w:ind w:firstLine="420" w:firstLineChars="200"/>
        <w:rPr>
          <w:rFonts w:ascii="仿宋" w:hAnsi="仿宋" w:eastAsia="仿宋" w:cs="仿宋"/>
          <w:szCs w:val="24"/>
        </w:rPr>
      </w:pPr>
      <w:r>
        <w:rPr>
          <w:rFonts w:hint="eastAsia" w:ascii="仿宋" w:hAnsi="仿宋" w:eastAsia="仿宋" w:cs="仿宋"/>
          <w:szCs w:val="24"/>
        </w:rPr>
        <w:t>10、查明有无湿陷性，并评价湿陷类型及等级，非湿陷性黄土的起始压力。</w:t>
      </w:r>
    </w:p>
    <w:p w14:paraId="42111582">
      <w:pPr>
        <w:spacing w:line="360" w:lineRule="auto"/>
        <w:ind w:firstLine="422" w:firstLineChars="200"/>
        <w:rPr>
          <w:rFonts w:ascii="仿宋" w:hAnsi="仿宋" w:eastAsia="仿宋" w:cs="仿宋"/>
          <w:b/>
          <w:bCs/>
          <w:szCs w:val="24"/>
        </w:rPr>
      </w:pPr>
      <w:r>
        <w:rPr>
          <w:rFonts w:hint="eastAsia" w:ascii="仿宋" w:hAnsi="仿宋" w:eastAsia="仿宋" w:cs="仿宋"/>
          <w:b/>
          <w:bCs/>
          <w:szCs w:val="24"/>
        </w:rPr>
        <w:t>（三）勘察执行的标准</w:t>
      </w:r>
    </w:p>
    <w:p w14:paraId="784F57B0">
      <w:pPr>
        <w:spacing w:line="360" w:lineRule="auto"/>
        <w:ind w:firstLine="420" w:firstLineChars="200"/>
        <w:rPr>
          <w:rFonts w:ascii="仿宋" w:hAnsi="仿宋" w:eastAsia="仿宋" w:cs="仿宋"/>
          <w:szCs w:val="24"/>
        </w:rPr>
      </w:pPr>
      <w:r>
        <w:rPr>
          <w:rFonts w:hint="eastAsia" w:ascii="仿宋" w:hAnsi="仿宋" w:eastAsia="仿宋" w:cs="仿宋"/>
          <w:szCs w:val="24"/>
        </w:rPr>
        <w:t xml:space="preserve">本次勘察主要依据的技术规范及有关标准有： </w:t>
      </w:r>
    </w:p>
    <w:p w14:paraId="5695766B">
      <w:pPr>
        <w:spacing w:line="360" w:lineRule="auto"/>
        <w:ind w:firstLine="420" w:firstLineChars="200"/>
        <w:rPr>
          <w:rFonts w:ascii="仿宋" w:hAnsi="仿宋" w:eastAsia="仿宋" w:cs="仿宋"/>
          <w:szCs w:val="24"/>
        </w:rPr>
      </w:pPr>
      <w:r>
        <w:rPr>
          <w:rFonts w:hint="eastAsia" w:ascii="仿宋" w:hAnsi="仿宋" w:eastAsia="仿宋" w:cs="仿宋"/>
          <w:szCs w:val="24"/>
        </w:rPr>
        <w:t>1）《市政工程勘察规范》</w:t>
      </w:r>
      <w:r>
        <w:rPr>
          <w:rFonts w:ascii="仿宋" w:hAnsi="仿宋" w:eastAsia="仿宋" w:cs="仿宋"/>
          <w:szCs w:val="24"/>
        </w:rPr>
        <w:t>CJJ56-2012</w:t>
      </w:r>
      <w:r>
        <w:rPr>
          <w:rFonts w:hint="eastAsia" w:ascii="仿宋" w:hAnsi="仿宋" w:eastAsia="仿宋" w:cs="仿宋"/>
          <w:szCs w:val="24"/>
        </w:rPr>
        <w:t xml:space="preserve">； </w:t>
      </w:r>
    </w:p>
    <w:p w14:paraId="6FEECA11">
      <w:pPr>
        <w:spacing w:line="360" w:lineRule="auto"/>
        <w:ind w:firstLine="420" w:firstLineChars="200"/>
        <w:rPr>
          <w:rFonts w:ascii="仿宋" w:hAnsi="仿宋" w:eastAsia="仿宋" w:cs="仿宋"/>
          <w:szCs w:val="24"/>
        </w:rPr>
      </w:pPr>
      <w:r>
        <w:rPr>
          <w:rFonts w:hint="eastAsia" w:ascii="仿宋" w:hAnsi="仿宋" w:eastAsia="仿宋" w:cs="仿宋"/>
          <w:szCs w:val="24"/>
        </w:rPr>
        <w:t>2）《工程勘察通用规范》GB 55017-2021；</w:t>
      </w:r>
    </w:p>
    <w:p w14:paraId="678354DA">
      <w:pPr>
        <w:spacing w:line="360" w:lineRule="auto"/>
        <w:ind w:firstLine="420" w:firstLineChars="200"/>
        <w:rPr>
          <w:rFonts w:ascii="仿宋" w:hAnsi="仿宋" w:eastAsia="仿宋" w:cs="仿宋"/>
          <w:szCs w:val="24"/>
        </w:rPr>
      </w:pPr>
      <w:r>
        <w:rPr>
          <w:rFonts w:hint="eastAsia" w:ascii="仿宋" w:hAnsi="仿宋" w:eastAsia="仿宋" w:cs="仿宋"/>
          <w:szCs w:val="24"/>
        </w:rPr>
        <w:t>3）《岩土工程勘察规范》（2009 年版）GB 50021-2001；</w:t>
      </w:r>
    </w:p>
    <w:p w14:paraId="38174292">
      <w:pPr>
        <w:spacing w:line="360" w:lineRule="auto"/>
        <w:ind w:firstLine="420" w:firstLineChars="200"/>
        <w:rPr>
          <w:rFonts w:ascii="仿宋" w:hAnsi="仿宋" w:eastAsia="仿宋" w:cs="仿宋"/>
          <w:szCs w:val="24"/>
        </w:rPr>
      </w:pPr>
      <w:r>
        <w:rPr>
          <w:rFonts w:hint="eastAsia" w:ascii="仿宋" w:hAnsi="仿宋" w:eastAsia="仿宋" w:cs="仿宋"/>
          <w:szCs w:val="24"/>
        </w:rPr>
        <w:t>4）《湿陷性黄土地区建筑标准》GB 50025-2018；</w:t>
      </w:r>
    </w:p>
    <w:p w14:paraId="2485DAED">
      <w:pPr>
        <w:spacing w:line="360" w:lineRule="auto"/>
        <w:ind w:firstLine="420" w:firstLineChars="200"/>
        <w:rPr>
          <w:rFonts w:ascii="仿宋" w:hAnsi="仿宋" w:eastAsia="仿宋" w:cs="仿宋"/>
          <w:szCs w:val="24"/>
        </w:rPr>
      </w:pPr>
      <w:r>
        <w:rPr>
          <w:rFonts w:hint="eastAsia" w:ascii="仿宋" w:hAnsi="仿宋" w:eastAsia="仿宋" w:cs="仿宋"/>
          <w:szCs w:val="24"/>
        </w:rPr>
        <w:t>5）《岩土工程勘察安全标准》GB/T 50585-2019；</w:t>
      </w:r>
    </w:p>
    <w:p w14:paraId="2BDB6A08">
      <w:pPr>
        <w:spacing w:line="360" w:lineRule="auto"/>
        <w:ind w:firstLine="420" w:firstLineChars="200"/>
        <w:rPr>
          <w:rFonts w:ascii="仿宋" w:hAnsi="仿宋" w:eastAsia="仿宋" w:cs="仿宋"/>
          <w:szCs w:val="24"/>
        </w:rPr>
      </w:pPr>
      <w:r>
        <w:rPr>
          <w:rFonts w:hint="eastAsia" w:ascii="仿宋" w:hAnsi="仿宋" w:eastAsia="仿宋" w:cs="仿宋"/>
          <w:szCs w:val="24"/>
        </w:rPr>
        <w:t>6）《建筑与市政工程地基基础通用规范》GB 55003-2021；</w:t>
      </w:r>
    </w:p>
    <w:p w14:paraId="02317FB8">
      <w:pPr>
        <w:spacing w:line="360" w:lineRule="auto"/>
        <w:ind w:firstLine="420" w:firstLineChars="200"/>
        <w:rPr>
          <w:rFonts w:ascii="仿宋" w:hAnsi="仿宋" w:eastAsia="仿宋" w:cs="仿宋"/>
          <w:szCs w:val="24"/>
        </w:rPr>
      </w:pPr>
      <w:r>
        <w:rPr>
          <w:rFonts w:hint="eastAsia" w:ascii="仿宋" w:hAnsi="仿宋" w:eastAsia="仿宋" w:cs="仿宋"/>
          <w:szCs w:val="24"/>
        </w:rPr>
        <w:t>7）《建筑地基基础设计规范》GB 50007-2011；</w:t>
      </w:r>
    </w:p>
    <w:p w14:paraId="2E0AFDC5">
      <w:pPr>
        <w:spacing w:line="360" w:lineRule="auto"/>
        <w:ind w:firstLine="420" w:firstLineChars="200"/>
        <w:rPr>
          <w:rFonts w:ascii="仿宋" w:hAnsi="仿宋" w:eastAsia="仿宋" w:cs="仿宋"/>
          <w:szCs w:val="24"/>
        </w:rPr>
      </w:pPr>
      <w:r>
        <w:rPr>
          <w:rFonts w:hint="eastAsia" w:ascii="仿宋" w:hAnsi="仿宋" w:eastAsia="仿宋" w:cs="仿宋"/>
          <w:szCs w:val="24"/>
        </w:rPr>
        <w:t>8）《建筑地基处理技术规范》JGJ 79-2012；</w:t>
      </w:r>
    </w:p>
    <w:p w14:paraId="4732B478">
      <w:pPr>
        <w:spacing w:line="360" w:lineRule="auto"/>
        <w:ind w:firstLine="420" w:firstLineChars="200"/>
        <w:rPr>
          <w:rFonts w:ascii="仿宋" w:hAnsi="仿宋" w:eastAsia="仿宋" w:cs="仿宋"/>
          <w:szCs w:val="24"/>
        </w:rPr>
      </w:pPr>
      <w:r>
        <w:rPr>
          <w:rFonts w:hint="eastAsia" w:ascii="仿宋" w:hAnsi="仿宋" w:eastAsia="仿宋" w:cs="仿宋"/>
          <w:szCs w:val="24"/>
        </w:rPr>
        <w:t>9）《建筑与市政工程抗震通用规范》GB 55002-2021；</w:t>
      </w:r>
    </w:p>
    <w:p w14:paraId="6EB4B6DA">
      <w:pPr>
        <w:spacing w:line="360" w:lineRule="auto"/>
        <w:ind w:firstLine="420" w:firstLineChars="200"/>
        <w:rPr>
          <w:rFonts w:ascii="仿宋" w:hAnsi="仿宋" w:eastAsia="仿宋" w:cs="仿宋"/>
          <w:szCs w:val="24"/>
        </w:rPr>
      </w:pPr>
      <w:r>
        <w:rPr>
          <w:rFonts w:hint="eastAsia" w:ascii="仿宋" w:hAnsi="仿宋" w:eastAsia="仿宋" w:cs="仿宋"/>
          <w:szCs w:val="24"/>
        </w:rPr>
        <w:t>10）《建筑抗震设计标准》GB∕T 50011-2010（2024 年版）；</w:t>
      </w:r>
    </w:p>
    <w:p w14:paraId="4994EC24">
      <w:pPr>
        <w:spacing w:line="360" w:lineRule="auto"/>
        <w:ind w:firstLine="420" w:firstLineChars="200"/>
        <w:rPr>
          <w:rFonts w:ascii="仿宋" w:hAnsi="仿宋" w:eastAsia="仿宋" w:cs="仿宋"/>
          <w:szCs w:val="24"/>
        </w:rPr>
      </w:pPr>
      <w:r>
        <w:rPr>
          <w:rFonts w:hint="eastAsia" w:ascii="仿宋" w:hAnsi="仿宋" w:eastAsia="仿宋" w:cs="仿宋"/>
          <w:szCs w:val="24"/>
        </w:rPr>
        <w:t>11）《建筑工程抗震设防分类标准》GB 50223-2008；</w:t>
      </w:r>
    </w:p>
    <w:p w14:paraId="18A86AA0">
      <w:pPr>
        <w:spacing w:line="360" w:lineRule="auto"/>
        <w:ind w:firstLine="420" w:firstLineChars="200"/>
        <w:rPr>
          <w:rFonts w:ascii="仿宋" w:hAnsi="仿宋" w:eastAsia="仿宋" w:cs="仿宋"/>
          <w:szCs w:val="24"/>
        </w:rPr>
      </w:pPr>
      <w:r>
        <w:rPr>
          <w:rFonts w:hint="eastAsia" w:ascii="仿宋" w:hAnsi="仿宋" w:eastAsia="仿宋" w:cs="仿宋"/>
          <w:szCs w:val="24"/>
        </w:rPr>
        <w:t>12）《西安地裂缝场地勘察与工程设计规程》DBJ 61/T182-2021；</w:t>
      </w:r>
    </w:p>
    <w:p w14:paraId="0BCA003C">
      <w:pPr>
        <w:spacing w:line="360" w:lineRule="auto"/>
        <w:ind w:firstLine="420" w:firstLineChars="200"/>
        <w:rPr>
          <w:rFonts w:ascii="仿宋" w:hAnsi="仿宋" w:eastAsia="仿宋" w:cs="仿宋"/>
          <w:szCs w:val="24"/>
        </w:rPr>
      </w:pPr>
      <w:r>
        <w:rPr>
          <w:rFonts w:hint="eastAsia" w:ascii="仿宋" w:hAnsi="仿宋" w:eastAsia="仿宋" w:cs="仿宋"/>
          <w:szCs w:val="24"/>
        </w:rPr>
        <w:t>13）《建筑基坑支护技术规程》JGJ 120-2012；</w:t>
      </w:r>
    </w:p>
    <w:p w14:paraId="7615233A">
      <w:pPr>
        <w:spacing w:line="360" w:lineRule="auto"/>
        <w:ind w:firstLine="420" w:firstLineChars="200"/>
        <w:rPr>
          <w:rFonts w:ascii="仿宋" w:hAnsi="仿宋" w:eastAsia="仿宋" w:cs="仿宋"/>
          <w:szCs w:val="24"/>
        </w:rPr>
      </w:pPr>
      <w:r>
        <w:rPr>
          <w:rFonts w:hint="eastAsia" w:ascii="仿宋" w:hAnsi="仿宋" w:eastAsia="仿宋" w:cs="仿宋"/>
          <w:szCs w:val="24"/>
        </w:rPr>
        <w:t>14）《建筑基坑工程监测技术标准》GB 50497-2019；</w:t>
      </w:r>
    </w:p>
    <w:p w14:paraId="0126329B">
      <w:pPr>
        <w:spacing w:line="360" w:lineRule="auto"/>
        <w:ind w:firstLine="420" w:firstLineChars="200"/>
        <w:rPr>
          <w:rFonts w:ascii="仿宋" w:hAnsi="仿宋" w:eastAsia="仿宋" w:cs="仿宋"/>
          <w:szCs w:val="24"/>
        </w:rPr>
      </w:pPr>
      <w:r>
        <w:rPr>
          <w:rFonts w:hint="eastAsia" w:ascii="仿宋" w:hAnsi="仿宋" w:eastAsia="仿宋" w:cs="仿宋"/>
          <w:szCs w:val="24"/>
        </w:rPr>
        <w:t>15）《湿陷性黄土地区建筑基坑工程安全技术规程》JGJ 167-2009；</w:t>
      </w:r>
    </w:p>
    <w:p w14:paraId="4010100A">
      <w:pPr>
        <w:spacing w:line="360" w:lineRule="auto"/>
        <w:ind w:firstLine="420" w:firstLineChars="200"/>
        <w:rPr>
          <w:rFonts w:ascii="仿宋" w:hAnsi="仿宋" w:eastAsia="仿宋" w:cs="仿宋"/>
          <w:szCs w:val="24"/>
        </w:rPr>
      </w:pPr>
      <w:r>
        <w:rPr>
          <w:rFonts w:hint="eastAsia" w:ascii="仿宋" w:hAnsi="仿宋" w:eastAsia="仿宋" w:cs="仿宋"/>
          <w:szCs w:val="24"/>
        </w:rPr>
        <w:t>16）《建筑工程地质勘探与取样技术规程》JGT/T 87-2012；</w:t>
      </w:r>
    </w:p>
    <w:p w14:paraId="21FDE273">
      <w:pPr>
        <w:spacing w:line="360" w:lineRule="auto"/>
        <w:ind w:firstLine="420" w:firstLineChars="200"/>
        <w:rPr>
          <w:rFonts w:ascii="仿宋" w:hAnsi="仿宋" w:eastAsia="仿宋" w:cs="仿宋"/>
          <w:szCs w:val="24"/>
        </w:rPr>
      </w:pPr>
      <w:r>
        <w:rPr>
          <w:rFonts w:hint="eastAsia" w:ascii="仿宋" w:hAnsi="仿宋" w:eastAsia="仿宋" w:cs="仿宋"/>
          <w:szCs w:val="24"/>
        </w:rPr>
        <w:t>17）《土工试验方法标准》GB/T 50123-2019；</w:t>
      </w:r>
    </w:p>
    <w:p w14:paraId="517E902A">
      <w:pPr>
        <w:spacing w:line="360" w:lineRule="auto"/>
        <w:ind w:firstLine="420" w:firstLineChars="200"/>
        <w:rPr>
          <w:rFonts w:ascii="仿宋" w:hAnsi="仿宋" w:eastAsia="仿宋" w:cs="仿宋"/>
          <w:szCs w:val="24"/>
        </w:rPr>
      </w:pPr>
      <w:r>
        <w:rPr>
          <w:rFonts w:hint="eastAsia" w:ascii="仿宋" w:hAnsi="仿宋" w:eastAsia="仿宋" w:cs="仿宋"/>
          <w:szCs w:val="24"/>
        </w:rPr>
        <w:t>18）《湿陷性黄土地区土工试验规程》DBJ61/T 134-2017；</w:t>
      </w:r>
    </w:p>
    <w:p w14:paraId="7545C105">
      <w:pPr>
        <w:spacing w:line="360" w:lineRule="auto"/>
        <w:ind w:firstLine="420" w:firstLineChars="200"/>
        <w:rPr>
          <w:rFonts w:ascii="仿宋" w:hAnsi="仿宋" w:eastAsia="仿宋" w:cs="仿宋"/>
          <w:szCs w:val="24"/>
        </w:rPr>
      </w:pPr>
      <w:r>
        <w:rPr>
          <w:rFonts w:hint="eastAsia" w:ascii="仿宋" w:hAnsi="仿宋" w:eastAsia="仿宋" w:cs="仿宋"/>
          <w:szCs w:val="24"/>
        </w:rPr>
        <w:t>19）《工业建筑防腐蚀设计标准》GB/T 50046-2018；</w:t>
      </w:r>
    </w:p>
    <w:p w14:paraId="16661758">
      <w:pPr>
        <w:spacing w:line="360" w:lineRule="auto"/>
        <w:ind w:firstLine="420" w:firstLineChars="200"/>
        <w:rPr>
          <w:rFonts w:ascii="仿宋" w:hAnsi="仿宋" w:eastAsia="仿宋" w:cs="仿宋"/>
          <w:szCs w:val="24"/>
        </w:rPr>
      </w:pPr>
      <w:r>
        <w:rPr>
          <w:rFonts w:hint="eastAsia" w:ascii="仿宋" w:hAnsi="仿宋" w:eastAsia="仿宋" w:cs="仿宋"/>
          <w:szCs w:val="24"/>
        </w:rPr>
        <w:t>20）《房屋建筑和市政基础设施工程勘察文件编制深度规定》（2020年版）；</w:t>
      </w:r>
    </w:p>
    <w:p w14:paraId="15DF0F2E">
      <w:pPr>
        <w:spacing w:line="360" w:lineRule="auto"/>
        <w:ind w:firstLine="420" w:firstLineChars="200"/>
        <w:rPr>
          <w:rFonts w:ascii="仿宋" w:hAnsi="仿宋" w:eastAsia="仿宋" w:cs="仿宋"/>
          <w:szCs w:val="24"/>
        </w:rPr>
      </w:pPr>
      <w:r>
        <w:rPr>
          <w:rFonts w:hint="eastAsia" w:ascii="仿宋" w:hAnsi="仿宋" w:eastAsia="仿宋" w:cs="仿宋"/>
          <w:szCs w:val="24"/>
        </w:rPr>
        <w:t>本报告在引用上述规范、规程时均以其编号简称。</w:t>
      </w:r>
    </w:p>
    <w:p w14:paraId="15EA9AE1">
      <w:pPr>
        <w:spacing w:line="360" w:lineRule="auto"/>
        <w:ind w:firstLine="422" w:firstLineChars="200"/>
        <w:rPr>
          <w:rFonts w:ascii="仿宋" w:hAnsi="仿宋" w:eastAsia="仿宋" w:cs="仿宋"/>
          <w:b/>
          <w:bCs/>
          <w:szCs w:val="24"/>
        </w:rPr>
      </w:pPr>
      <w:r>
        <w:rPr>
          <w:rFonts w:hint="eastAsia" w:ascii="仿宋" w:hAnsi="仿宋" w:eastAsia="仿宋" w:cs="仿宋"/>
          <w:b/>
          <w:bCs/>
          <w:szCs w:val="24"/>
        </w:rPr>
        <w:t>（四）实施要求</w:t>
      </w:r>
    </w:p>
    <w:p w14:paraId="636196FF">
      <w:pPr>
        <w:spacing w:line="360" w:lineRule="auto"/>
        <w:ind w:firstLine="420" w:firstLineChars="200"/>
        <w:rPr>
          <w:rFonts w:ascii="仿宋" w:hAnsi="仿宋" w:eastAsia="仿宋" w:cs="仿宋"/>
          <w:szCs w:val="24"/>
        </w:rPr>
      </w:pPr>
      <w:r>
        <w:rPr>
          <w:rFonts w:hint="eastAsia" w:ascii="仿宋" w:hAnsi="仿宋" w:eastAsia="仿宋" w:cs="仿宋"/>
          <w:szCs w:val="24"/>
        </w:rPr>
        <w:t>1、勘察探孔布置：明挖浅埋(管顶埋深等于或小于3m)管道，间距150m；明挖深埋(管顶埋深大于3m)管道120m；顶管、定向钻施工管道，间距50m。</w:t>
      </w:r>
    </w:p>
    <w:p w14:paraId="6DF9C2F3">
      <w:pPr>
        <w:spacing w:line="360" w:lineRule="auto"/>
        <w:ind w:firstLine="420" w:firstLineChars="200"/>
        <w:rPr>
          <w:rFonts w:ascii="仿宋" w:hAnsi="仿宋" w:eastAsia="仿宋" w:cs="仿宋"/>
          <w:szCs w:val="24"/>
        </w:rPr>
      </w:pPr>
      <w:r>
        <w:rPr>
          <w:rFonts w:hint="eastAsia" w:ascii="仿宋" w:hAnsi="仿宋" w:eastAsia="仿宋" w:cs="仿宋"/>
          <w:szCs w:val="24"/>
        </w:rPr>
        <w:t>2、勘察探孔深度：明挖管道探孔深度应达到管底设计高程以下3米；非开挖敷设管道勘探孔深度达到管底设计高程以下5米；探孔深度参见设计单位提供的各工程设计管道纵断面图。</w:t>
      </w:r>
    </w:p>
    <w:p w14:paraId="370120FE">
      <w:pPr>
        <w:spacing w:line="360" w:lineRule="auto"/>
        <w:ind w:firstLine="420" w:firstLineChars="200"/>
        <w:rPr>
          <w:rFonts w:ascii="仿宋" w:hAnsi="仿宋" w:eastAsia="仿宋" w:cs="仿宋"/>
          <w:szCs w:val="24"/>
        </w:rPr>
      </w:pPr>
      <w:r>
        <w:rPr>
          <w:rFonts w:hint="eastAsia" w:ascii="仿宋" w:hAnsi="仿宋" w:eastAsia="仿宋" w:cs="仿宋"/>
          <w:szCs w:val="24"/>
        </w:rPr>
        <w:t>3、提供开槽施工沟槽边坡稳定性计算参数、沟槽支护设计参数及建议的支护方式、开挖放坡坡度、注意事项及相关参数等；对于稳定性较差地层及可能产生流沙、管涌等地层，应提出预加固处理的建议。</w:t>
      </w:r>
    </w:p>
    <w:p w14:paraId="26940EE0">
      <w:pPr>
        <w:adjustRightInd w:val="0"/>
        <w:snapToGrid w:val="0"/>
        <w:spacing w:line="360" w:lineRule="auto"/>
        <w:ind w:firstLine="422" w:firstLineChars="200"/>
        <w:rPr>
          <w:rFonts w:ascii="仿宋" w:hAnsi="仿宋" w:eastAsia="仿宋" w:cs="仿宋"/>
          <w:b/>
          <w:bCs/>
          <w:szCs w:val="24"/>
        </w:rPr>
      </w:pPr>
      <w:r>
        <w:rPr>
          <w:rFonts w:hint="eastAsia" w:ascii="仿宋" w:hAnsi="仿宋" w:eastAsia="仿宋" w:cs="仿宋"/>
          <w:b/>
          <w:bCs/>
          <w:szCs w:val="24"/>
        </w:rPr>
        <w:t>三、服务要求</w:t>
      </w:r>
    </w:p>
    <w:p w14:paraId="1F8FA93A">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lang w:val="en-US" w:eastAsia="zh-CN"/>
        </w:rPr>
        <w:t>服务</w:t>
      </w:r>
      <w:r>
        <w:rPr>
          <w:rFonts w:hint="eastAsia" w:ascii="仿宋" w:hAnsi="仿宋" w:eastAsia="仿宋" w:cs="仿宋"/>
          <w:szCs w:val="24"/>
        </w:rPr>
        <w:t>期：自设备进场之日起30日内提交完整的勘察报告。</w:t>
      </w:r>
    </w:p>
    <w:p w14:paraId="54C2C98A">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2、供应商提供的服务，必须是符合国家有关标准要求，并满足磋商文件规定的价格、完成期限、售后服务及供应商须承担的技术支持和磋商文件规定的其它伴随服务等要求。</w:t>
      </w:r>
    </w:p>
    <w:p w14:paraId="13B2BBC1">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3、采购人有权拒绝接受任何不合格的服务，由此产生的费用及相关后果均由供应商自行承担。</w:t>
      </w:r>
    </w:p>
    <w:p w14:paraId="30BE5299">
      <w:pPr>
        <w:adjustRightInd w:val="0"/>
        <w:snapToGrid w:val="0"/>
        <w:spacing w:line="360" w:lineRule="auto"/>
        <w:ind w:firstLine="422" w:firstLineChars="200"/>
        <w:rPr>
          <w:rFonts w:ascii="仿宋" w:hAnsi="仿宋" w:eastAsia="仿宋" w:cs="仿宋"/>
          <w:b/>
          <w:bCs/>
          <w:szCs w:val="24"/>
        </w:rPr>
      </w:pPr>
      <w:r>
        <w:rPr>
          <w:rFonts w:hint="eastAsia" w:ascii="仿宋" w:hAnsi="仿宋" w:eastAsia="仿宋" w:cs="仿宋"/>
          <w:b/>
          <w:bCs/>
          <w:szCs w:val="24"/>
        </w:rPr>
        <w:t>四、付款方式、依据</w:t>
      </w:r>
    </w:p>
    <w:p w14:paraId="1709A153">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1、付款方式：合同签订且乙方向甲方提供勘察报告后支付合同总价款的80%，施工图审查合格后支付剩余合同总价款的20%。</w:t>
      </w:r>
    </w:p>
    <w:p w14:paraId="1B69A033">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2、付款依据：乙方提供等额发票。</w:t>
      </w:r>
    </w:p>
    <w:p w14:paraId="0447C4D4">
      <w:pPr>
        <w:adjustRightInd w:val="0"/>
        <w:snapToGrid w:val="0"/>
        <w:spacing w:line="360" w:lineRule="auto"/>
        <w:ind w:firstLine="422" w:firstLineChars="200"/>
        <w:rPr>
          <w:rFonts w:ascii="仿宋" w:hAnsi="仿宋" w:eastAsia="仿宋" w:cs="仿宋"/>
          <w:b/>
          <w:bCs/>
          <w:szCs w:val="24"/>
        </w:rPr>
      </w:pPr>
      <w:r>
        <w:rPr>
          <w:rFonts w:hint="eastAsia" w:ascii="仿宋" w:hAnsi="仿宋" w:eastAsia="仿宋" w:cs="仿宋"/>
          <w:b/>
          <w:bCs/>
          <w:szCs w:val="24"/>
        </w:rPr>
        <w:t>五、商务要求：</w:t>
      </w:r>
    </w:p>
    <w:p w14:paraId="1087D706">
      <w:pPr>
        <w:widowControl/>
        <w:autoSpaceDE w:val="0"/>
        <w:autoSpaceDN w:val="0"/>
        <w:adjustRightInd w:val="0"/>
        <w:snapToGrid w:val="0"/>
        <w:spacing w:line="360" w:lineRule="auto"/>
        <w:ind w:right="-110" w:firstLine="422" w:firstLineChars="200"/>
        <w:textAlignment w:val="bottom"/>
        <w:rPr>
          <w:rFonts w:ascii="仿宋" w:hAnsi="仿宋" w:eastAsia="仿宋" w:cs="仿宋"/>
          <w:b/>
          <w:bCs/>
          <w:color w:val="000000"/>
          <w:szCs w:val="24"/>
        </w:rPr>
      </w:pPr>
      <w:r>
        <w:rPr>
          <w:rFonts w:hint="eastAsia" w:ascii="仿宋" w:hAnsi="仿宋" w:eastAsia="仿宋" w:cs="仿宋"/>
          <w:b/>
          <w:bCs/>
          <w:color w:val="000000"/>
          <w:szCs w:val="24"/>
        </w:rPr>
        <w:t>（一）价格：</w:t>
      </w:r>
    </w:p>
    <w:p w14:paraId="45BCFD2C">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1.合同价包括：服务费、售后服务费、利润、税金、保险、相关伴随费用等的一切费用。</w:t>
      </w:r>
    </w:p>
    <w:p w14:paraId="6C521751">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2.合同有效期内，合同总价一次包死，不受国家政策性调价或原材料价格变化及外汇汇率变化的影响，并作为最终结算的唯一依据。</w:t>
      </w:r>
    </w:p>
    <w:p w14:paraId="22C7310F">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3、服务承诺：供应商应遵照国家规范规定的技术服务内容及要求作出明确承诺。</w:t>
      </w:r>
    </w:p>
    <w:p w14:paraId="6867C1E2">
      <w:pPr>
        <w:widowControl/>
        <w:autoSpaceDE w:val="0"/>
        <w:autoSpaceDN w:val="0"/>
        <w:adjustRightInd w:val="0"/>
        <w:snapToGrid w:val="0"/>
        <w:spacing w:line="360" w:lineRule="auto"/>
        <w:ind w:right="-110" w:firstLine="422" w:firstLineChars="200"/>
        <w:textAlignment w:val="bottom"/>
        <w:rPr>
          <w:rFonts w:ascii="仿宋" w:hAnsi="仿宋" w:eastAsia="仿宋" w:cs="仿宋"/>
          <w:b/>
          <w:bCs/>
          <w:color w:val="000000"/>
          <w:szCs w:val="24"/>
        </w:rPr>
      </w:pPr>
      <w:r>
        <w:rPr>
          <w:rFonts w:hint="eastAsia" w:ascii="仿宋" w:hAnsi="仿宋" w:eastAsia="仿宋" w:cs="仿宋"/>
          <w:b/>
          <w:bCs/>
          <w:color w:val="000000"/>
          <w:szCs w:val="24"/>
        </w:rPr>
        <w:t>（二）质量安排排查保密要求：</w:t>
      </w:r>
    </w:p>
    <w:p w14:paraId="246B3DA2">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22F71524">
      <w:pPr>
        <w:widowControl/>
        <w:autoSpaceDE w:val="0"/>
        <w:autoSpaceDN w:val="0"/>
        <w:adjustRightInd w:val="0"/>
        <w:snapToGrid w:val="0"/>
        <w:spacing w:line="360" w:lineRule="auto"/>
        <w:ind w:right="-110" w:firstLine="422" w:firstLineChars="200"/>
        <w:textAlignment w:val="bottom"/>
        <w:rPr>
          <w:rFonts w:ascii="仿宋" w:hAnsi="仿宋" w:eastAsia="仿宋" w:cs="仿宋"/>
          <w:b/>
          <w:bCs/>
          <w:color w:val="000000"/>
          <w:szCs w:val="24"/>
        </w:rPr>
      </w:pPr>
      <w:r>
        <w:rPr>
          <w:rFonts w:hint="eastAsia" w:ascii="仿宋" w:hAnsi="仿宋" w:eastAsia="仿宋" w:cs="仿宋"/>
          <w:b/>
          <w:bCs/>
          <w:color w:val="000000"/>
          <w:szCs w:val="24"/>
        </w:rPr>
        <w:t>（三）质量保证：</w:t>
      </w:r>
    </w:p>
    <w:p w14:paraId="6A5FA2A6">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成交供应商保证服务质量完全符合合同规定的质量标准及国家有关规范和标准。</w:t>
      </w:r>
    </w:p>
    <w:p w14:paraId="61D83F3C">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w:t>
      </w:r>
      <w:r>
        <w:rPr>
          <w:rFonts w:hint="eastAsia" w:ascii="仿宋" w:hAnsi="仿宋" w:eastAsia="仿宋" w:cs="仿宋"/>
          <w:b/>
          <w:bCs/>
          <w:color w:val="000000"/>
          <w:szCs w:val="24"/>
        </w:rPr>
        <w:t>四）验收：</w:t>
      </w:r>
    </w:p>
    <w:p w14:paraId="06D46CFF">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1、成交供应商对最终的服务质量负完全责任。</w:t>
      </w:r>
    </w:p>
    <w:p w14:paraId="4DD84A98">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2、验收依据：</w:t>
      </w:r>
    </w:p>
    <w:p w14:paraId="04BB1737">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（1）合同；</w:t>
      </w:r>
    </w:p>
    <w:p w14:paraId="632EC04E">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（2）国家有关的验收标准及规范；</w:t>
      </w:r>
    </w:p>
    <w:p w14:paraId="7006CDF9">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（3）竞争性磋商文件、竞争性磋商响应文件；</w:t>
      </w:r>
    </w:p>
    <w:p w14:paraId="709C43A1">
      <w:pPr>
        <w:widowControl/>
        <w:autoSpaceDE w:val="0"/>
        <w:autoSpaceDN w:val="0"/>
        <w:adjustRightInd w:val="0"/>
        <w:snapToGrid w:val="0"/>
        <w:spacing w:line="360" w:lineRule="auto"/>
        <w:ind w:right="-110" w:firstLine="422" w:firstLineChars="200"/>
        <w:textAlignment w:val="bottom"/>
        <w:rPr>
          <w:rFonts w:ascii="仿宋" w:hAnsi="仿宋" w:eastAsia="仿宋" w:cs="仿宋"/>
          <w:color w:val="000000"/>
          <w:szCs w:val="24"/>
        </w:rPr>
      </w:pPr>
      <w:r>
        <w:rPr>
          <w:rFonts w:hint="eastAsia" w:ascii="仿宋" w:hAnsi="仿宋" w:eastAsia="仿宋" w:cs="仿宋"/>
          <w:b/>
          <w:bCs/>
          <w:color w:val="000000"/>
          <w:szCs w:val="24"/>
        </w:rPr>
        <w:t>（五）合同实施：</w:t>
      </w:r>
    </w:p>
    <w:p w14:paraId="3EF16B95">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1、成交供应商应在合同签订后尽快安排人员与采购单位就服务工作进行安排、部署。</w:t>
      </w:r>
    </w:p>
    <w:p w14:paraId="21E76305">
      <w:pPr>
        <w:widowControl/>
        <w:autoSpaceDE w:val="0"/>
        <w:autoSpaceDN w:val="0"/>
        <w:adjustRightInd w:val="0"/>
        <w:snapToGrid w:val="0"/>
        <w:spacing w:line="360" w:lineRule="auto"/>
        <w:ind w:right="-110" w:firstLine="420" w:firstLineChars="200"/>
        <w:textAlignment w:val="bottom"/>
        <w:rPr>
          <w:rFonts w:ascii="仿宋" w:hAnsi="仿宋" w:eastAsia="仿宋" w:cs="仿宋"/>
          <w:color w:val="000000"/>
          <w:szCs w:val="24"/>
        </w:rPr>
      </w:pPr>
      <w:r>
        <w:rPr>
          <w:rFonts w:hint="eastAsia" w:ascii="仿宋" w:hAnsi="仿宋" w:eastAsia="仿宋" w:cs="仿宋"/>
          <w:color w:val="000000"/>
          <w:szCs w:val="24"/>
        </w:rPr>
        <w:t>2、若因成交供应商原因未能在服务期内完成合同规定的义务，由此对采购人造成的延误和一切损失，由成交单位人承担和赔偿。</w:t>
      </w:r>
    </w:p>
    <w:p w14:paraId="091AB2C2">
      <w:pPr>
        <w:widowControl/>
        <w:autoSpaceDE w:val="0"/>
        <w:autoSpaceDN w:val="0"/>
        <w:adjustRightInd w:val="0"/>
        <w:snapToGrid w:val="0"/>
        <w:spacing w:line="360" w:lineRule="auto"/>
        <w:ind w:right="-110" w:firstLine="422" w:firstLineChars="200"/>
        <w:textAlignment w:val="bottom"/>
        <w:rPr>
          <w:rFonts w:ascii="仿宋" w:hAnsi="仿宋" w:eastAsia="仿宋" w:cs="仿宋"/>
          <w:b/>
          <w:bCs/>
          <w:color w:val="000000"/>
          <w:szCs w:val="24"/>
        </w:rPr>
      </w:pPr>
      <w:r>
        <w:rPr>
          <w:rFonts w:hint="eastAsia" w:ascii="仿宋" w:hAnsi="仿宋" w:eastAsia="仿宋" w:cs="仿宋"/>
          <w:b/>
          <w:bCs/>
          <w:color w:val="000000"/>
          <w:szCs w:val="24"/>
        </w:rPr>
        <w:t>注：商务要求为实质性要求，不得负偏离。</w:t>
      </w:r>
    </w:p>
    <w:p w14:paraId="0094208B">
      <w:pPr>
        <w:pStyle w:val="2"/>
        <w:ind w:left="0" w:leftChars="0" w:firstLine="4480" w:firstLineChars="1600"/>
        <w:rPr>
          <w:rFonts w:hint="default" w:ascii="仿宋" w:hAnsi="仿宋" w:eastAsia="仿宋"/>
          <w:sz w:val="28"/>
          <w:szCs w:val="28"/>
          <w:lang w:val="en-US" w:eastAsia="zh-CN"/>
        </w:rPr>
      </w:pP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1902F4"/>
    <w:multiLevelType w:val="singleLevel"/>
    <w:tmpl w:val="BB1902F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ZThkZTliODc0YjU1NTA5M2UzMTIxMzdkY2QwMDk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B56A63"/>
    <w:rsid w:val="020860D1"/>
    <w:rsid w:val="03177514"/>
    <w:rsid w:val="06472842"/>
    <w:rsid w:val="095F548F"/>
    <w:rsid w:val="0A911CAA"/>
    <w:rsid w:val="0DE3083D"/>
    <w:rsid w:val="15926C0E"/>
    <w:rsid w:val="237B4A5E"/>
    <w:rsid w:val="2473330A"/>
    <w:rsid w:val="256B319A"/>
    <w:rsid w:val="25742C24"/>
    <w:rsid w:val="2759755F"/>
    <w:rsid w:val="29BD5F8E"/>
    <w:rsid w:val="2BD155F1"/>
    <w:rsid w:val="2C187EA8"/>
    <w:rsid w:val="2EED0ECC"/>
    <w:rsid w:val="3B4C0F98"/>
    <w:rsid w:val="3D5C1616"/>
    <w:rsid w:val="3DE85B3A"/>
    <w:rsid w:val="4E7F59D1"/>
    <w:rsid w:val="50036B6F"/>
    <w:rsid w:val="52397FF8"/>
    <w:rsid w:val="532C1AFB"/>
    <w:rsid w:val="571E77BD"/>
    <w:rsid w:val="5B765E19"/>
    <w:rsid w:val="5BA57CFF"/>
    <w:rsid w:val="6147287B"/>
    <w:rsid w:val="68D06AFD"/>
    <w:rsid w:val="7510685C"/>
    <w:rsid w:val="75493E1B"/>
    <w:rsid w:val="75BF4CBF"/>
    <w:rsid w:val="7A0B2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39"/>
    <w:semiHidden/>
    <w:unhideWhenUsed/>
    <w:qFormat/>
    <w:uiPriority w:val="99"/>
    <w:pPr>
      <w:jc w:val="left"/>
    </w:pPr>
  </w:style>
  <w:style w:type="paragraph" w:styleId="4">
    <w:name w:val="Body Text"/>
    <w:basedOn w:val="1"/>
    <w:qFormat/>
    <w:uiPriority w:val="0"/>
    <w:pPr>
      <w:spacing w:after="120"/>
    </w:pPr>
    <w:rPr>
      <w:rFonts w:ascii="Times New Roman"/>
      <w:kern w:val="2"/>
      <w:sz w:val="21"/>
    </w:rPr>
  </w:style>
  <w:style w:type="paragraph" w:styleId="5">
    <w:name w:val="Balloon Text"/>
    <w:basedOn w:val="1"/>
    <w:link w:val="41"/>
    <w:semiHidden/>
    <w:unhideWhenUsed/>
    <w:qFormat/>
    <w:uiPriority w:val="99"/>
    <w:rPr>
      <w:sz w:val="18"/>
      <w:szCs w:val="18"/>
    </w:rPr>
  </w:style>
  <w:style w:type="paragraph" w:styleId="6">
    <w:name w:val="footer"/>
    <w:basedOn w:val="1"/>
    <w:link w:val="38"/>
    <w:unhideWhenUsed/>
    <w:qFormat/>
    <w:uiPriority w:val="99"/>
    <w:pPr>
      <w:tabs>
        <w:tab w:val="center" w:pos="4153"/>
        <w:tab w:val="right" w:pos="8306"/>
      </w:tabs>
      <w:snapToGrid w:val="0"/>
      <w:jc w:val="left"/>
    </w:pPr>
    <w:rPr>
      <w:sz w:val="18"/>
      <w:szCs w:val="18"/>
    </w:rPr>
  </w:style>
  <w:style w:type="paragraph" w:styleId="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annotation subject"/>
    <w:basedOn w:val="3"/>
    <w:next w:val="3"/>
    <w:link w:val="40"/>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customStyle="1" w:styleId="13">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
    <w:name w:val="※封面大标题"/>
    <w:basedOn w:val="1"/>
    <w:next w:val="1"/>
    <w:qFormat/>
    <w:uiPriority w:val="0"/>
    <w:pPr>
      <w:widowControl/>
      <w:jc w:val="center"/>
    </w:pPr>
    <w:rPr>
      <w:rFonts w:ascii="华文中宋" w:hAnsi="华文中宋" w:eastAsia="华文中宋"/>
      <w:sz w:val="96"/>
      <w:szCs w:val="96"/>
    </w:rPr>
  </w:style>
  <w:style w:type="paragraph" w:customStyle="1" w:styleId="16">
    <w:name w:val="※封面题颌"/>
    <w:basedOn w:val="1"/>
    <w:next w:val="1"/>
    <w:qFormat/>
    <w:uiPriority w:val="0"/>
    <w:pPr>
      <w:widowControl/>
      <w:jc w:val="center"/>
    </w:pPr>
    <w:rPr>
      <w:rFonts w:ascii="Calibri Light" w:hAnsi="Calibri Light" w:eastAsia="华文仿宋"/>
      <w:sz w:val="36"/>
      <w:szCs w:val="36"/>
    </w:rPr>
  </w:style>
  <w:style w:type="paragraph" w:customStyle="1" w:styleId="17">
    <w:name w:val="※封面题眉"/>
    <w:basedOn w:val="1"/>
    <w:next w:val="15"/>
    <w:qFormat/>
    <w:uiPriority w:val="0"/>
    <w:pPr>
      <w:widowControl/>
      <w:jc w:val="center"/>
    </w:pPr>
    <w:rPr>
      <w:rFonts w:ascii="华文仿宋" w:hAnsi="华文仿宋" w:eastAsia="华文仿宋"/>
      <w:sz w:val="52"/>
      <w:szCs w:val="28"/>
    </w:rPr>
  </w:style>
  <w:style w:type="paragraph" w:customStyle="1" w:styleId="18">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9">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0">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1">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2">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3">
    <w:name w:val="※小标题 一"/>
    <w:basedOn w:val="22"/>
    <w:next w:val="22"/>
    <w:qFormat/>
    <w:uiPriority w:val="0"/>
    <w:pPr>
      <w:spacing w:before="120" w:line="240" w:lineRule="auto"/>
      <w:outlineLvl w:val="2"/>
    </w:pPr>
    <w:rPr>
      <w:b/>
      <w:color w:val="203864" w:themeColor="accent5" w:themeShade="80"/>
      <w:sz w:val="32"/>
    </w:rPr>
  </w:style>
  <w:style w:type="paragraph" w:customStyle="1" w:styleId="24">
    <w:name w:val="※小标题（1）"/>
    <w:basedOn w:val="1"/>
    <w:next w:val="22"/>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5">
    <w:name w:val="※小标题（一）"/>
    <w:basedOn w:val="1"/>
    <w:next w:val="22"/>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6">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7">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8">
    <w:name w:val="※页眉"/>
    <w:basedOn w:val="22"/>
    <w:qFormat/>
    <w:uiPriority w:val="0"/>
    <w:pPr>
      <w:pBdr>
        <w:bottom w:val="single" w:color="auto" w:sz="4" w:space="1"/>
      </w:pBdr>
      <w:spacing w:line="240" w:lineRule="atLeast"/>
      <w:jc w:val="right"/>
    </w:pPr>
    <w:rPr>
      <w:rFonts w:ascii="宋体" w:hAnsi="宋体" w:eastAsia="宋体"/>
      <w:sz w:val="18"/>
    </w:rPr>
  </w:style>
  <w:style w:type="paragraph" w:customStyle="1" w:styleId="29">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0">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1">
    <w:name w:val="※章节标题（第Z部分分项）"/>
    <w:basedOn w:val="30"/>
    <w:qFormat/>
    <w:uiPriority w:val="0"/>
    <w:pPr>
      <w:outlineLvl w:val="2"/>
    </w:pPr>
  </w:style>
  <w:style w:type="paragraph" w:customStyle="1" w:styleId="32">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3">
    <w:name w:val="※正文（缩进2）"/>
    <w:basedOn w:val="22"/>
    <w:qFormat/>
    <w:uiPriority w:val="0"/>
    <w:pPr>
      <w:ind w:firstLine="200" w:firstLineChars="200"/>
    </w:pPr>
  </w:style>
  <w:style w:type="paragraph" w:customStyle="1" w:styleId="34">
    <w:name w:val="※正文（缩进4）"/>
    <w:basedOn w:val="22"/>
    <w:qFormat/>
    <w:uiPriority w:val="0"/>
    <w:pPr>
      <w:ind w:firstLine="400" w:firstLineChars="400"/>
    </w:pPr>
  </w:style>
  <w:style w:type="paragraph" w:customStyle="1" w:styleId="35">
    <w:name w:val="样式"/>
    <w:link w:val="36"/>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character" w:customStyle="1" w:styleId="36">
    <w:name w:val="样式 Char Char"/>
    <w:link w:val="35"/>
    <w:qFormat/>
    <w:locked/>
    <w:uiPriority w:val="0"/>
    <w:rPr>
      <w:rFonts w:ascii="宋体" w:hAnsi="宋体" w:eastAsia="宋体" w:cs="宋体"/>
      <w:kern w:val="0"/>
      <w:sz w:val="24"/>
      <w:szCs w:val="24"/>
    </w:rPr>
  </w:style>
  <w:style w:type="character" w:customStyle="1" w:styleId="37">
    <w:name w:val="页眉 Char"/>
    <w:basedOn w:val="11"/>
    <w:link w:val="7"/>
    <w:qFormat/>
    <w:uiPriority w:val="99"/>
    <w:rPr>
      <w:rFonts w:ascii="Calibri" w:hAnsi="Calibri" w:eastAsia="宋体" w:cs="Times New Roman"/>
      <w:sz w:val="18"/>
      <w:szCs w:val="18"/>
    </w:rPr>
  </w:style>
  <w:style w:type="character" w:customStyle="1" w:styleId="38">
    <w:name w:val="页脚 Char"/>
    <w:basedOn w:val="11"/>
    <w:link w:val="6"/>
    <w:qFormat/>
    <w:uiPriority w:val="99"/>
    <w:rPr>
      <w:rFonts w:ascii="Calibri" w:hAnsi="Calibri" w:eastAsia="宋体" w:cs="Times New Roman"/>
      <w:sz w:val="18"/>
      <w:szCs w:val="18"/>
    </w:rPr>
  </w:style>
  <w:style w:type="character" w:customStyle="1" w:styleId="39">
    <w:name w:val="批注文字 Char"/>
    <w:basedOn w:val="11"/>
    <w:link w:val="3"/>
    <w:semiHidden/>
    <w:qFormat/>
    <w:uiPriority w:val="99"/>
    <w:rPr>
      <w:rFonts w:ascii="Calibri" w:hAnsi="Calibri" w:eastAsia="宋体" w:cs="Times New Roman"/>
    </w:rPr>
  </w:style>
  <w:style w:type="character" w:customStyle="1" w:styleId="40">
    <w:name w:val="批注主题 Char"/>
    <w:basedOn w:val="39"/>
    <w:link w:val="9"/>
    <w:semiHidden/>
    <w:qFormat/>
    <w:uiPriority w:val="99"/>
    <w:rPr>
      <w:rFonts w:ascii="Calibri" w:hAnsi="Calibri" w:eastAsia="宋体" w:cs="Times New Roman"/>
      <w:b/>
      <w:bCs/>
    </w:rPr>
  </w:style>
  <w:style w:type="character" w:customStyle="1" w:styleId="41">
    <w:name w:val="批注框文本 Char"/>
    <w:basedOn w:val="11"/>
    <w:link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7</Pages>
  <Words>3281</Words>
  <Characters>3590</Characters>
  <Lines>21</Lines>
  <Paragraphs>6</Paragraphs>
  <TotalTime>11</TotalTime>
  <ScaleCrop>false</ScaleCrop>
  <LinksUpToDate>false</LinksUpToDate>
  <CharactersWithSpaces>3659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sunshine</cp:lastModifiedBy>
  <cp:lastPrinted>2023-10-30T06:42:00Z</cp:lastPrinted>
  <dcterms:modified xsi:type="dcterms:W3CDTF">2025-08-12T05:25:39Z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045B6DD758C342BC8E583A09ADAF3231_13</vt:lpwstr>
  </property>
  <property fmtid="{D5CDD505-2E9C-101B-9397-08002B2CF9AE}" pid="4" name="KSOTemplateDocerSaveRecord">
    <vt:lpwstr>eyJoZGlkIjoiZWY4OTI3NjIzNzhjMjI1ZTIwZDIzZTkzZGJjNWU4ZTMiLCJ1c2VySWQiOiIzOTkyMzQzNzIifQ==</vt:lpwstr>
  </property>
</Properties>
</file>