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版本号：RH采字【20250808】号20250819002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雁塔区2025年老旧小区庭院围墙内雨污水管网更新改造项目地勘服务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RH采字【20250808】号</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雁塔区2025年老旧小区庭院围墙内雨污水管网更新改造项目地勘服务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RH采字【20250808】号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雁塔区2025年老旧小区庭院围墙内雨污水管网更新改造项目地勘服务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对西安市雁塔区既有住宅小区雨污分流改造工程进行岩土工程勘察。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采购包1（雁塔区2025年老旧小区庭院围墙内雨污水管网更新改造项目地勘服务）：属于专门面向中小企业采购。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1、法定代表人授权委托书：法定代表人授权委托书（附法定代表人、被授权人身份证复印件）或法定代表人身份证明（法定代表人直接参加投标，须提供法定代表人身份证明及身份证复印件）</w:t>
      </w:r>
    </w:p>
    <w:p>
      <w:pPr>
        <w:pStyle w:val="null3"/>
      </w:pPr>
      <w:r>
        <w:rPr>
          <w:rFonts w:ascii="仿宋_GB2312" w:hAnsi="仿宋_GB2312" w:cs="仿宋_GB2312" w:eastAsia="仿宋_GB2312"/>
        </w:rPr>
        <w:t>2、企业资质：供应商须具备行政主管部门核发的工程勘察综合类甲级资质或岩土工程勘察乙级及以上资质。</w:t>
      </w:r>
    </w:p>
    <w:p>
      <w:pPr>
        <w:pStyle w:val="null3"/>
      </w:pPr>
      <w:r>
        <w:rPr>
          <w:rFonts w:ascii="仿宋_GB2312" w:hAnsi="仿宋_GB2312" w:cs="仿宋_GB2312" w:eastAsia="仿宋_GB2312"/>
        </w:rPr>
        <w:t>3、项目负责人要求：拟派项目负责人须具备土木工程师（岩土）执业资格，且在本单位注册。</w:t>
      </w:r>
    </w:p>
    <w:p>
      <w:pPr>
        <w:pStyle w:val="null3"/>
      </w:pPr>
      <w:r>
        <w:rPr>
          <w:rFonts w:ascii="仿宋_GB2312" w:hAnsi="仿宋_GB2312" w:cs="仿宋_GB2312" w:eastAsia="仿宋_GB2312"/>
        </w:rPr>
        <w:t>4、声明函：本项目不接受联合体投标；单位负责人为同一人或者存在控股、管理关系的不同单位，不得参加同一项目的投标。</w:t>
      </w:r>
    </w:p>
    <w:p>
      <w:pPr>
        <w:pStyle w:val="null3"/>
      </w:pPr>
      <w:r>
        <w:rPr>
          <w:rFonts w:ascii="仿宋_GB2312" w:hAnsi="仿宋_GB2312" w:cs="仿宋_GB2312" w:eastAsia="仿宋_GB2312"/>
        </w:rPr>
        <w:t>5、本采购包专门面向中小企业采购：参与的供应商（联合体）全部为符合政策要求的中小企业。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029-83692920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李瑜、石雨鑫、刘菲、张丰利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029-88441538、15991788231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代理服务费收费标准：成交供应商在领取《成交通知书》之前，向采购代理机构一次付清招标代理服务费。 采购代理服务费参照原《招标代理服务收费管理暂行办法》(计价格〔2002〕1980号)规定标准计算代理报酬。</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符合国家、省、市及行业相关规定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联系人：李瑜</w:t>
      </w:r>
    </w:p>
    <w:p>
      <w:pPr>
        <w:pStyle w:val="null3"/>
      </w:pPr>
      <w:r>
        <w:rPr>
          <w:rFonts w:ascii="仿宋_GB2312" w:hAnsi="仿宋_GB2312" w:cs="仿宋_GB2312" w:eastAsia="仿宋_GB2312"/>
        </w:rPr>
        <w:t>联系电话：15991788231</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对西安市雁塔区既有住宅小区雨污分流改造工程进行岩土工程勘察。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770,000.00</w:t>
      </w:r>
    </w:p>
    <w:p>
      <w:pPr>
        <w:pStyle w:val="null3"/>
      </w:pPr>
      <w:r>
        <w:rPr>
          <w:rFonts w:ascii="仿宋_GB2312" w:hAnsi="仿宋_GB2312" w:cs="仿宋_GB2312" w:eastAsia="仿宋_GB2312"/>
        </w:rPr>
        <w:t>采购包最高限价（元）: 770,000.00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雁塔区2025年老旧小区庭院围墙内雨污水管网更新改造项目地勘服务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标的名称：雁塔区2025年老旧小区庭院围墙内雨污水管网更新改造项目地勘服务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项目名称：西安市雁塔区既有住宅小区雨污分流改造项目勘察</w:t>
            </w:r>
            <w:r>
              <w:rPr>
                <w:rFonts w:ascii="仿宋_GB2312" w:hAnsi="仿宋_GB2312" w:cs="仿宋_GB2312" w:eastAsia="仿宋_GB2312"/>
                <w:sz w:val="21"/>
              </w:rPr>
              <w:t>服务</w:t>
            </w:r>
          </w:p>
          <w:p>
            <w:pPr>
              <w:pStyle w:val="null3"/>
              <w:ind w:firstLine="420"/>
              <w:jc w:val="both"/>
            </w:pPr>
            <w:r>
              <w:rPr>
                <w:rFonts w:ascii="仿宋_GB2312" w:hAnsi="仿宋_GB2312" w:cs="仿宋_GB2312" w:eastAsia="仿宋_GB2312"/>
                <w:sz w:val="21"/>
              </w:rPr>
              <w:t>采购预算：</w:t>
            </w:r>
            <w:r>
              <w:rPr>
                <w:rFonts w:ascii="仿宋_GB2312" w:hAnsi="仿宋_GB2312" w:cs="仿宋_GB2312" w:eastAsia="仿宋_GB2312"/>
                <w:sz w:val="21"/>
              </w:rPr>
              <w:t>77</w:t>
            </w:r>
            <w:r>
              <w:rPr>
                <w:rFonts w:ascii="仿宋_GB2312" w:hAnsi="仿宋_GB2312" w:cs="仿宋_GB2312" w:eastAsia="仿宋_GB2312"/>
                <w:sz w:val="21"/>
              </w:rPr>
              <w:t>万元</w:t>
            </w:r>
          </w:p>
          <w:p>
            <w:pPr>
              <w:pStyle w:val="null3"/>
              <w:ind w:firstLine="420"/>
              <w:jc w:val="both"/>
            </w:pPr>
            <w:r>
              <w:rPr>
                <w:rFonts w:ascii="仿宋_GB2312" w:hAnsi="仿宋_GB2312" w:cs="仿宋_GB2312" w:eastAsia="仿宋_GB2312"/>
                <w:sz w:val="21"/>
              </w:rPr>
              <w:t>勘察范围：</w:t>
            </w:r>
            <w:r>
              <w:rPr>
                <w:rFonts w:ascii="仿宋_GB2312" w:hAnsi="仿宋_GB2312" w:cs="仿宋_GB2312" w:eastAsia="仿宋_GB2312"/>
                <w:sz w:val="21"/>
              </w:rPr>
              <w:t>本项目为对西勘小区、城南锦绣小区等</w:t>
            </w:r>
            <w:r>
              <w:rPr>
                <w:rFonts w:ascii="仿宋_GB2312" w:hAnsi="仿宋_GB2312" w:cs="仿宋_GB2312" w:eastAsia="仿宋_GB2312"/>
                <w:sz w:val="21"/>
              </w:rPr>
              <w:t>46个老旧小区围墙内雨污分流改造，本项目位于西安市雁塔区，具体如下：</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1）西勘小区（西影路46号），属于大雁塔街办。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2）城南锦绣（西延路70号），属于大雁塔街办。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3）颖园小区（西影路186号），属于大雁塔街办。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4）宝枫佳苑（雁塔区西延路68号），属于大雁塔街办。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5）情报所家属院（乐游路60号），属于大雁塔街办。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6）地震局家属院（西影路316号），属于大雁塔街办。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7）西安文理学院家属院翠华路住宅区（翠华北路393号），属于大雁塔街办。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8）质检所家属院（后村西路），属于大雁塔街办。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9）45中学家属院（西影路396号），属于大雁塔街办。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10）西安科技大学东院（雁塔区西影路41号），属于大雁塔街办。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11）曲江颐景(雁南二路与慈恩西路交叉西北角)，属于大雁塔街办。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12）第一医院家属院（乐游路7号），属于大雁塔街办。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13）石化院小区（西延路45号），属于大雁塔街办。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14）省考古所家属院（乐游路31号），属于大雁塔街办。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15）正和小区（西影路486号），属于大雁塔街办。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16）陕师大附中家属院（雁塔西路10号），属于大雁塔街办。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17）雁塔分局家属院（乐游路4号），属于大雁塔街办。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18）电信四所北院（翠华北路269号），属于大雁塔街办。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19）电信四所南院（翠华路226号），属于大雁塔街办。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20）西勘新苑(西影路338A)，属于大雁塔街办。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21）微生物研究所（西影路76号），属于大雁塔街办。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22）中交二公局职工医院家属院（含光南路150号），属于小寨路街办。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23）回收公司家属院（翠华北路393号），属于大雁塔街办。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24）雅荷翠华小区（翠华路300号），属于大雁塔街办。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25）药材公司家属院（翠华北路286号），属于大雁塔街办。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26）西安饭庄（乐游路9号），属于大雁塔街办。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27）科学器材西院(乐游路8号)，属于大雁塔街办。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28）沙坡检察院（西影路563号），属于大雁塔街办。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29）区政府家属院（育才路238号），属于大雁塔街办。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30）曲江大队家属院(西影路605号)，属于大雁塔街办。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31）区卫生局家属院（翠华北路345号），属于大雁塔街办。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32）大唐不夜城社区管委会家属院（雁南一路5号），属于大雁塔街办。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33）电信四所新院（慈恩西路陕师大附中南侧），属于大雁塔街办。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34）大方西院（雁塔区西影路63号），属于大雁塔街办。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35）风景区第一生活小区（雁塔区西影路57号），属于大雁塔街办。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36）大方东小区（西影路58号），属于大雁塔街办。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37）雁影华庭小区（西影路63号），属于大雁塔街办。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38）紫竹花园小区（二环南路西段108号），属于小寨路街办。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39）长安大学家属院东区（雁塔区育才路81号），属于小寨路街办。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40）长安大学小寨校区（雁塔区长安中路161号），属于小寨路街办。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41）长安大学雁塔校区西家属院（雁塔区育才路115号），属于小寨路街办。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42）长安大学崇业路南院北院（雁塔区崇业路9号、10号），属于小寨路街办。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43）第一汽车运输公司青松路小区（青松路3号），属于长延堡街办。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44）雁塔监狱家属院（二环南路东段50号），属于等驾坡街办。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45）电信十所家属院（雁塔西路12号），属于小寨路街办。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46）陕西食品药品检验所家属院（朱雀大街421号），属于小寨路街办。</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共</w:t>
            </w:r>
            <w:r>
              <w:rPr>
                <w:rFonts w:ascii="仿宋_GB2312" w:hAnsi="仿宋_GB2312" w:cs="仿宋_GB2312" w:eastAsia="仿宋_GB2312"/>
                <w:sz w:val="21"/>
              </w:rPr>
              <w:t>4</w:t>
            </w:r>
            <w:r>
              <w:rPr>
                <w:rFonts w:ascii="仿宋_GB2312" w:hAnsi="仿宋_GB2312" w:cs="仿宋_GB2312" w:eastAsia="仿宋_GB2312"/>
                <w:sz w:val="21"/>
              </w:rPr>
              <w:t>6个既有住宅小区对其雨污分流进行改造，改造内容包含雨水工程、污水工程、现状路面开挖及修复等。本项目的勘察内容即对上述小区的雨污分流工程进行岩土工程勘察。</w:t>
            </w:r>
          </w:p>
          <w:p>
            <w:pPr>
              <w:pStyle w:val="null3"/>
              <w:jc w:val="both"/>
            </w:pPr>
            <w:r>
              <w:rPr>
                <w:rFonts w:ascii="仿宋_GB2312" w:hAnsi="仿宋_GB2312" w:cs="仿宋_GB2312" w:eastAsia="仿宋_GB2312"/>
                <w:sz w:val="21"/>
                <w:b/>
              </w:rPr>
              <w:t>二、要求</w:t>
            </w:r>
          </w:p>
          <w:p>
            <w:pPr>
              <w:pStyle w:val="null3"/>
              <w:ind w:firstLine="422"/>
              <w:jc w:val="both"/>
            </w:pPr>
            <w:r>
              <w:rPr>
                <w:rFonts w:ascii="仿宋_GB2312" w:hAnsi="仿宋_GB2312" w:cs="仿宋_GB2312" w:eastAsia="仿宋_GB2312"/>
                <w:sz w:val="21"/>
                <w:b/>
              </w:rPr>
              <w:t>（一）勘察阶段</w:t>
            </w:r>
          </w:p>
          <w:p>
            <w:pPr>
              <w:pStyle w:val="null3"/>
              <w:ind w:firstLine="420"/>
              <w:jc w:val="both"/>
            </w:pPr>
            <w:r>
              <w:rPr>
                <w:rFonts w:ascii="仿宋_GB2312" w:hAnsi="仿宋_GB2312" w:cs="仿宋_GB2312" w:eastAsia="仿宋_GB2312"/>
                <w:sz w:val="21"/>
              </w:rPr>
              <w:t>本项目勘察报告编排为详细勘察阶段。</w:t>
            </w:r>
          </w:p>
          <w:p>
            <w:pPr>
              <w:pStyle w:val="null3"/>
              <w:ind w:firstLine="422"/>
              <w:jc w:val="both"/>
            </w:pPr>
            <w:r>
              <w:rPr>
                <w:rFonts w:ascii="仿宋_GB2312" w:hAnsi="仿宋_GB2312" w:cs="仿宋_GB2312" w:eastAsia="仿宋_GB2312"/>
                <w:sz w:val="21"/>
                <w:b/>
              </w:rPr>
              <w:t>（二）勘察技术要求</w:t>
            </w:r>
          </w:p>
          <w:p>
            <w:pPr>
              <w:pStyle w:val="null3"/>
              <w:ind w:firstLine="420"/>
              <w:jc w:val="both"/>
            </w:pPr>
            <w:r>
              <w:rPr>
                <w:rFonts w:ascii="仿宋_GB2312" w:hAnsi="仿宋_GB2312" w:cs="仿宋_GB2312" w:eastAsia="仿宋_GB2312"/>
                <w:sz w:val="21"/>
              </w:rPr>
              <w:t>1、查明地层结构和岩土工程特性。</w:t>
            </w:r>
          </w:p>
          <w:p>
            <w:pPr>
              <w:pStyle w:val="null3"/>
              <w:ind w:firstLine="420"/>
              <w:jc w:val="both"/>
            </w:pPr>
            <w:r>
              <w:rPr>
                <w:rFonts w:ascii="仿宋_GB2312" w:hAnsi="仿宋_GB2312" w:cs="仿宋_GB2312" w:eastAsia="仿宋_GB2312"/>
                <w:sz w:val="21"/>
              </w:rPr>
              <w:t>2、查明地下水埋藏条件和对工程建设的影响。</w:t>
            </w:r>
          </w:p>
          <w:p>
            <w:pPr>
              <w:pStyle w:val="null3"/>
              <w:ind w:firstLine="420"/>
              <w:jc w:val="both"/>
            </w:pPr>
            <w:r>
              <w:rPr>
                <w:rFonts w:ascii="仿宋_GB2312" w:hAnsi="仿宋_GB2312" w:cs="仿宋_GB2312" w:eastAsia="仿宋_GB2312"/>
                <w:sz w:val="21"/>
              </w:rPr>
              <w:t>3、评价环境水、土对建筑材料的腐蚀性。</w:t>
            </w:r>
          </w:p>
          <w:p>
            <w:pPr>
              <w:pStyle w:val="null3"/>
              <w:ind w:firstLine="420"/>
              <w:jc w:val="both"/>
            </w:pPr>
            <w:r>
              <w:rPr>
                <w:rFonts w:ascii="仿宋_GB2312" w:hAnsi="仿宋_GB2312" w:cs="仿宋_GB2312" w:eastAsia="仿宋_GB2312"/>
                <w:sz w:val="21"/>
              </w:rPr>
              <w:t>4、划分场地土类型和建筑场地类别评价场地地震效应。</w:t>
            </w:r>
          </w:p>
          <w:p>
            <w:pPr>
              <w:pStyle w:val="null3"/>
              <w:ind w:firstLine="420"/>
              <w:jc w:val="both"/>
            </w:pPr>
            <w:r>
              <w:rPr>
                <w:rFonts w:ascii="仿宋_GB2312" w:hAnsi="仿宋_GB2312" w:cs="仿宋_GB2312" w:eastAsia="仿宋_GB2312"/>
                <w:sz w:val="21"/>
              </w:rPr>
              <w:t>5、评价地基稳定性，提供地基承载力等参数。</w:t>
            </w:r>
          </w:p>
          <w:p>
            <w:pPr>
              <w:pStyle w:val="null3"/>
              <w:ind w:firstLine="420"/>
              <w:jc w:val="both"/>
            </w:pPr>
            <w:r>
              <w:rPr>
                <w:rFonts w:ascii="仿宋_GB2312" w:hAnsi="仿宋_GB2312" w:cs="仿宋_GB2312" w:eastAsia="仿宋_GB2312"/>
                <w:sz w:val="21"/>
              </w:rPr>
              <w:t>6、提出地基处理措施建议。</w:t>
            </w:r>
          </w:p>
          <w:p>
            <w:pPr>
              <w:pStyle w:val="null3"/>
              <w:ind w:firstLine="420"/>
              <w:jc w:val="both"/>
            </w:pPr>
            <w:r>
              <w:rPr>
                <w:rFonts w:ascii="仿宋_GB2312" w:hAnsi="仿宋_GB2312" w:cs="仿宋_GB2312" w:eastAsia="仿宋_GB2312"/>
                <w:sz w:val="21"/>
              </w:rPr>
              <w:t>7、提供基坑开挖和支护的建议方案和岩土参数。</w:t>
            </w:r>
          </w:p>
          <w:p>
            <w:pPr>
              <w:pStyle w:val="null3"/>
              <w:ind w:firstLine="420"/>
              <w:jc w:val="both"/>
            </w:pPr>
            <w:r>
              <w:rPr>
                <w:rFonts w:ascii="仿宋_GB2312" w:hAnsi="仿宋_GB2312" w:cs="仿宋_GB2312" w:eastAsia="仿宋_GB2312"/>
                <w:sz w:val="21"/>
              </w:rPr>
              <w:t>8、提供工程降水方案建议和水文地质参数。</w:t>
            </w:r>
          </w:p>
          <w:p>
            <w:pPr>
              <w:pStyle w:val="null3"/>
              <w:ind w:firstLine="420"/>
              <w:jc w:val="both"/>
            </w:pPr>
            <w:r>
              <w:rPr>
                <w:rFonts w:ascii="仿宋_GB2312" w:hAnsi="仿宋_GB2312" w:cs="仿宋_GB2312" w:eastAsia="仿宋_GB2312"/>
                <w:sz w:val="21"/>
              </w:rPr>
              <w:t>9、提供不良地质现象防治措施建议和岩土参数。</w:t>
            </w:r>
          </w:p>
          <w:p>
            <w:pPr>
              <w:pStyle w:val="null3"/>
              <w:ind w:firstLine="420"/>
              <w:jc w:val="both"/>
            </w:pPr>
            <w:r>
              <w:rPr>
                <w:rFonts w:ascii="仿宋_GB2312" w:hAnsi="仿宋_GB2312" w:cs="仿宋_GB2312" w:eastAsia="仿宋_GB2312"/>
                <w:sz w:val="21"/>
              </w:rPr>
              <w:t>10、查明有无湿陷性，并评价湿陷类型及等级，非湿陷性黄土的起始压力。</w:t>
            </w:r>
          </w:p>
          <w:p>
            <w:pPr>
              <w:pStyle w:val="null3"/>
              <w:ind w:firstLine="422"/>
              <w:jc w:val="both"/>
            </w:pPr>
            <w:r>
              <w:rPr>
                <w:rFonts w:ascii="仿宋_GB2312" w:hAnsi="仿宋_GB2312" w:cs="仿宋_GB2312" w:eastAsia="仿宋_GB2312"/>
                <w:sz w:val="21"/>
                <w:b/>
              </w:rPr>
              <w:t>（三）勘察执行的标准</w:t>
            </w:r>
          </w:p>
          <w:p>
            <w:pPr>
              <w:pStyle w:val="null3"/>
              <w:ind w:firstLine="420"/>
              <w:jc w:val="both"/>
            </w:pPr>
            <w:r>
              <w:rPr>
                <w:rFonts w:ascii="仿宋_GB2312" w:hAnsi="仿宋_GB2312" w:cs="仿宋_GB2312" w:eastAsia="仿宋_GB2312"/>
                <w:sz w:val="21"/>
              </w:rPr>
              <w:t>本次勘察主要依据的技术规范及有关标准有：</w:t>
            </w:r>
          </w:p>
          <w:p>
            <w:pPr>
              <w:pStyle w:val="null3"/>
              <w:ind w:firstLine="420"/>
              <w:jc w:val="both"/>
            </w:pPr>
            <w:r>
              <w:rPr>
                <w:rFonts w:ascii="仿宋_GB2312" w:hAnsi="仿宋_GB2312" w:cs="仿宋_GB2312" w:eastAsia="仿宋_GB2312"/>
                <w:sz w:val="21"/>
              </w:rPr>
              <w:t>1）《市政工程勘察规范》</w:t>
            </w:r>
            <w:r>
              <w:rPr>
                <w:rFonts w:ascii="仿宋_GB2312" w:hAnsi="仿宋_GB2312" w:cs="仿宋_GB2312" w:eastAsia="仿宋_GB2312"/>
                <w:sz w:val="21"/>
              </w:rPr>
              <w:t>CJJ56-2012</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2）《工程勘察通用规范》GB 55017-2021；</w:t>
            </w:r>
          </w:p>
          <w:p>
            <w:pPr>
              <w:pStyle w:val="null3"/>
              <w:ind w:firstLine="420"/>
              <w:jc w:val="both"/>
            </w:pPr>
            <w:r>
              <w:rPr>
                <w:rFonts w:ascii="仿宋_GB2312" w:hAnsi="仿宋_GB2312" w:cs="仿宋_GB2312" w:eastAsia="仿宋_GB2312"/>
                <w:sz w:val="21"/>
              </w:rPr>
              <w:t>3）《岩土工程勘察规范》（2009 年版）GB 50021-2001；</w:t>
            </w:r>
          </w:p>
          <w:p>
            <w:pPr>
              <w:pStyle w:val="null3"/>
              <w:ind w:firstLine="420"/>
              <w:jc w:val="both"/>
            </w:pPr>
            <w:r>
              <w:rPr>
                <w:rFonts w:ascii="仿宋_GB2312" w:hAnsi="仿宋_GB2312" w:cs="仿宋_GB2312" w:eastAsia="仿宋_GB2312"/>
                <w:sz w:val="21"/>
              </w:rPr>
              <w:t>4）《湿陷性黄土地区建筑标准》GB 50025-2018；</w:t>
            </w:r>
          </w:p>
          <w:p>
            <w:pPr>
              <w:pStyle w:val="null3"/>
              <w:ind w:firstLine="420"/>
              <w:jc w:val="both"/>
            </w:pPr>
            <w:r>
              <w:rPr>
                <w:rFonts w:ascii="仿宋_GB2312" w:hAnsi="仿宋_GB2312" w:cs="仿宋_GB2312" w:eastAsia="仿宋_GB2312"/>
                <w:sz w:val="21"/>
              </w:rPr>
              <w:t>5）《岩土工程勘察安全标准》GB/T 50585-2019；</w:t>
            </w:r>
          </w:p>
          <w:p>
            <w:pPr>
              <w:pStyle w:val="null3"/>
              <w:ind w:firstLine="420"/>
              <w:jc w:val="both"/>
            </w:pPr>
            <w:r>
              <w:rPr>
                <w:rFonts w:ascii="仿宋_GB2312" w:hAnsi="仿宋_GB2312" w:cs="仿宋_GB2312" w:eastAsia="仿宋_GB2312"/>
                <w:sz w:val="21"/>
              </w:rPr>
              <w:t>6）《建筑与市政工程地基基础通用规范》GB 55003-2021；</w:t>
            </w:r>
          </w:p>
          <w:p>
            <w:pPr>
              <w:pStyle w:val="null3"/>
              <w:ind w:firstLine="420"/>
              <w:jc w:val="both"/>
            </w:pPr>
            <w:r>
              <w:rPr>
                <w:rFonts w:ascii="仿宋_GB2312" w:hAnsi="仿宋_GB2312" w:cs="仿宋_GB2312" w:eastAsia="仿宋_GB2312"/>
                <w:sz w:val="21"/>
              </w:rPr>
              <w:t>7）《建筑地基基础设计规范》GB 50007-2011；</w:t>
            </w:r>
          </w:p>
          <w:p>
            <w:pPr>
              <w:pStyle w:val="null3"/>
              <w:ind w:firstLine="420"/>
              <w:jc w:val="both"/>
            </w:pPr>
            <w:r>
              <w:rPr>
                <w:rFonts w:ascii="仿宋_GB2312" w:hAnsi="仿宋_GB2312" w:cs="仿宋_GB2312" w:eastAsia="仿宋_GB2312"/>
                <w:sz w:val="21"/>
              </w:rPr>
              <w:t>8）《建筑地基处理技术规范》JGJ 79-2012；</w:t>
            </w:r>
          </w:p>
          <w:p>
            <w:pPr>
              <w:pStyle w:val="null3"/>
              <w:ind w:firstLine="420"/>
              <w:jc w:val="both"/>
            </w:pPr>
            <w:r>
              <w:rPr>
                <w:rFonts w:ascii="仿宋_GB2312" w:hAnsi="仿宋_GB2312" w:cs="仿宋_GB2312" w:eastAsia="仿宋_GB2312"/>
                <w:sz w:val="21"/>
              </w:rPr>
              <w:t>9）《建筑与市政工程抗震通用规范》GB 55002-2021；</w:t>
            </w:r>
          </w:p>
          <w:p>
            <w:pPr>
              <w:pStyle w:val="null3"/>
              <w:ind w:firstLine="420"/>
              <w:jc w:val="both"/>
            </w:pPr>
            <w:r>
              <w:rPr>
                <w:rFonts w:ascii="仿宋_GB2312" w:hAnsi="仿宋_GB2312" w:cs="仿宋_GB2312" w:eastAsia="仿宋_GB2312"/>
                <w:sz w:val="21"/>
              </w:rPr>
              <w:t>10）《建筑抗震设计标准》GB∕T 50011-2010（2024 年版）；</w:t>
            </w:r>
          </w:p>
          <w:p>
            <w:pPr>
              <w:pStyle w:val="null3"/>
              <w:ind w:firstLine="420"/>
              <w:jc w:val="both"/>
            </w:pPr>
            <w:r>
              <w:rPr>
                <w:rFonts w:ascii="仿宋_GB2312" w:hAnsi="仿宋_GB2312" w:cs="仿宋_GB2312" w:eastAsia="仿宋_GB2312"/>
                <w:sz w:val="21"/>
              </w:rPr>
              <w:t>11）《建筑工程抗震设防分类标准》GB 50223-2008；</w:t>
            </w:r>
          </w:p>
          <w:p>
            <w:pPr>
              <w:pStyle w:val="null3"/>
              <w:ind w:firstLine="420"/>
              <w:jc w:val="both"/>
            </w:pPr>
            <w:r>
              <w:rPr>
                <w:rFonts w:ascii="仿宋_GB2312" w:hAnsi="仿宋_GB2312" w:cs="仿宋_GB2312" w:eastAsia="仿宋_GB2312"/>
                <w:sz w:val="21"/>
              </w:rPr>
              <w:t>12）《西安地裂缝场地勘察与工程设计规程》DBJ 61/T182-2021；</w:t>
            </w:r>
          </w:p>
          <w:p>
            <w:pPr>
              <w:pStyle w:val="null3"/>
              <w:ind w:firstLine="420"/>
              <w:jc w:val="both"/>
            </w:pPr>
            <w:r>
              <w:rPr>
                <w:rFonts w:ascii="仿宋_GB2312" w:hAnsi="仿宋_GB2312" w:cs="仿宋_GB2312" w:eastAsia="仿宋_GB2312"/>
                <w:sz w:val="21"/>
              </w:rPr>
              <w:t>13）《建筑基坑支护技术规程》JGJ 120-2012；</w:t>
            </w:r>
          </w:p>
          <w:p>
            <w:pPr>
              <w:pStyle w:val="null3"/>
              <w:ind w:firstLine="420"/>
              <w:jc w:val="both"/>
            </w:pPr>
            <w:r>
              <w:rPr>
                <w:rFonts w:ascii="仿宋_GB2312" w:hAnsi="仿宋_GB2312" w:cs="仿宋_GB2312" w:eastAsia="仿宋_GB2312"/>
                <w:sz w:val="21"/>
              </w:rPr>
              <w:t>14）《建筑基坑工程监测技术标准》GB 50497-2019；</w:t>
            </w:r>
          </w:p>
          <w:p>
            <w:pPr>
              <w:pStyle w:val="null3"/>
              <w:ind w:firstLine="420"/>
              <w:jc w:val="both"/>
            </w:pPr>
            <w:r>
              <w:rPr>
                <w:rFonts w:ascii="仿宋_GB2312" w:hAnsi="仿宋_GB2312" w:cs="仿宋_GB2312" w:eastAsia="仿宋_GB2312"/>
                <w:sz w:val="21"/>
              </w:rPr>
              <w:t>15）《湿陷性黄土地区建筑基坑工程安全技术规程》JGJ 167-2009；</w:t>
            </w:r>
          </w:p>
          <w:p>
            <w:pPr>
              <w:pStyle w:val="null3"/>
              <w:ind w:firstLine="420"/>
              <w:jc w:val="both"/>
            </w:pPr>
            <w:r>
              <w:rPr>
                <w:rFonts w:ascii="仿宋_GB2312" w:hAnsi="仿宋_GB2312" w:cs="仿宋_GB2312" w:eastAsia="仿宋_GB2312"/>
                <w:sz w:val="21"/>
              </w:rPr>
              <w:t>16）《建筑工程地质勘探与取样技术规程》JGT/T 87-2012；</w:t>
            </w:r>
          </w:p>
          <w:p>
            <w:pPr>
              <w:pStyle w:val="null3"/>
              <w:ind w:firstLine="420"/>
              <w:jc w:val="both"/>
            </w:pPr>
            <w:r>
              <w:rPr>
                <w:rFonts w:ascii="仿宋_GB2312" w:hAnsi="仿宋_GB2312" w:cs="仿宋_GB2312" w:eastAsia="仿宋_GB2312"/>
                <w:sz w:val="21"/>
              </w:rPr>
              <w:t>17）《土工试验方法标准》GB/T 50123-2019；</w:t>
            </w:r>
          </w:p>
          <w:p>
            <w:pPr>
              <w:pStyle w:val="null3"/>
              <w:ind w:firstLine="420"/>
              <w:jc w:val="both"/>
            </w:pPr>
            <w:r>
              <w:rPr>
                <w:rFonts w:ascii="仿宋_GB2312" w:hAnsi="仿宋_GB2312" w:cs="仿宋_GB2312" w:eastAsia="仿宋_GB2312"/>
                <w:sz w:val="21"/>
              </w:rPr>
              <w:t>18）《湿陷性黄土地区土工试验规程》DBJ61/T 134-2017；</w:t>
            </w:r>
          </w:p>
          <w:p>
            <w:pPr>
              <w:pStyle w:val="null3"/>
              <w:ind w:firstLine="420"/>
              <w:jc w:val="both"/>
            </w:pPr>
            <w:r>
              <w:rPr>
                <w:rFonts w:ascii="仿宋_GB2312" w:hAnsi="仿宋_GB2312" w:cs="仿宋_GB2312" w:eastAsia="仿宋_GB2312"/>
                <w:sz w:val="21"/>
              </w:rPr>
              <w:t>19）《工业建筑防腐蚀设计标准》GB/T 50046-2018；</w:t>
            </w:r>
          </w:p>
          <w:p>
            <w:pPr>
              <w:pStyle w:val="null3"/>
              <w:ind w:firstLine="420"/>
              <w:jc w:val="both"/>
            </w:pPr>
            <w:r>
              <w:rPr>
                <w:rFonts w:ascii="仿宋_GB2312" w:hAnsi="仿宋_GB2312" w:cs="仿宋_GB2312" w:eastAsia="仿宋_GB2312"/>
                <w:sz w:val="21"/>
              </w:rPr>
              <w:t>20）《房屋建筑和市政基础设施工程勘察文件编制深度规定》（2020年版）；</w:t>
            </w:r>
          </w:p>
          <w:p>
            <w:pPr>
              <w:pStyle w:val="null3"/>
              <w:ind w:firstLine="420"/>
              <w:jc w:val="both"/>
            </w:pPr>
            <w:r>
              <w:rPr>
                <w:rFonts w:ascii="仿宋_GB2312" w:hAnsi="仿宋_GB2312" w:cs="仿宋_GB2312" w:eastAsia="仿宋_GB2312"/>
                <w:sz w:val="21"/>
              </w:rPr>
              <w:t>本报告在引用上述规范、规程时均以其编号简称。</w:t>
            </w:r>
          </w:p>
          <w:p>
            <w:pPr>
              <w:pStyle w:val="null3"/>
              <w:ind w:firstLine="422"/>
              <w:jc w:val="both"/>
            </w:pPr>
            <w:r>
              <w:rPr>
                <w:rFonts w:ascii="仿宋_GB2312" w:hAnsi="仿宋_GB2312" w:cs="仿宋_GB2312" w:eastAsia="仿宋_GB2312"/>
                <w:sz w:val="21"/>
                <w:b/>
              </w:rPr>
              <w:t>（四）实施要求</w:t>
            </w:r>
          </w:p>
          <w:p>
            <w:pPr>
              <w:pStyle w:val="null3"/>
              <w:ind w:firstLine="420"/>
              <w:jc w:val="both"/>
            </w:pPr>
            <w:r>
              <w:rPr>
                <w:rFonts w:ascii="仿宋_GB2312" w:hAnsi="仿宋_GB2312" w:cs="仿宋_GB2312" w:eastAsia="仿宋_GB2312"/>
                <w:sz w:val="21"/>
              </w:rPr>
              <w:t>1、勘察探孔布置：明挖浅埋(管顶埋深等于或小于3m)管道，间距150m；明挖深埋(管顶埋深大于3m)管道120m；顶管、定向钻施工管道，间距50m。</w:t>
            </w:r>
          </w:p>
          <w:p>
            <w:pPr>
              <w:pStyle w:val="null3"/>
              <w:ind w:firstLine="420"/>
              <w:jc w:val="both"/>
            </w:pPr>
            <w:r>
              <w:rPr>
                <w:rFonts w:ascii="仿宋_GB2312" w:hAnsi="仿宋_GB2312" w:cs="仿宋_GB2312" w:eastAsia="仿宋_GB2312"/>
                <w:sz w:val="21"/>
              </w:rPr>
              <w:t>2、勘察探孔深度：明挖管道探孔深度应达到管底设计高程以下3米；非开挖敷设管道勘探孔深度达到管底设计高程以下5米；探孔深度参见设计单位提供的各工程设计管道纵断面图。</w:t>
            </w:r>
          </w:p>
          <w:p>
            <w:pPr>
              <w:pStyle w:val="null3"/>
              <w:ind w:firstLine="420"/>
              <w:jc w:val="both"/>
            </w:pPr>
            <w:r>
              <w:rPr>
                <w:rFonts w:ascii="仿宋_GB2312" w:hAnsi="仿宋_GB2312" w:cs="仿宋_GB2312" w:eastAsia="仿宋_GB2312"/>
                <w:sz w:val="21"/>
              </w:rPr>
              <w:t>3、提供开槽施工沟槽边坡稳定性计算参数、沟槽支护设计参数及建议的支护方式、开挖放坡坡度、注意事项及相关参数等；对于稳定性较差地层及可能产生流沙、管涌等地层，应提出预加固处理的建议。</w:t>
            </w:r>
          </w:p>
          <w:p>
            <w:pPr>
              <w:pStyle w:val="null3"/>
              <w:ind w:firstLine="422"/>
              <w:jc w:val="both"/>
            </w:pPr>
            <w:r>
              <w:rPr>
                <w:rFonts w:ascii="仿宋_GB2312" w:hAnsi="仿宋_GB2312" w:cs="仿宋_GB2312" w:eastAsia="仿宋_GB2312"/>
                <w:sz w:val="21"/>
                <w:b/>
              </w:rPr>
              <w:t>三、服务要求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服务</w:t>
            </w:r>
            <w:r>
              <w:rPr>
                <w:rFonts w:ascii="仿宋_GB2312" w:hAnsi="仿宋_GB2312" w:cs="仿宋_GB2312" w:eastAsia="仿宋_GB2312"/>
                <w:sz w:val="21"/>
              </w:rPr>
              <w:t>期：自设备进场之日起</w:t>
            </w:r>
            <w:r>
              <w:rPr>
                <w:rFonts w:ascii="仿宋_GB2312" w:hAnsi="仿宋_GB2312" w:cs="仿宋_GB2312" w:eastAsia="仿宋_GB2312"/>
                <w:sz w:val="21"/>
              </w:rPr>
              <w:t>30日内提交完整的勘察报告。</w:t>
            </w:r>
          </w:p>
          <w:p>
            <w:pPr>
              <w:pStyle w:val="null3"/>
              <w:ind w:firstLine="420"/>
              <w:jc w:val="both"/>
            </w:pPr>
            <w:r>
              <w:rPr>
                <w:rFonts w:ascii="仿宋_GB2312" w:hAnsi="仿宋_GB2312" w:cs="仿宋_GB2312" w:eastAsia="仿宋_GB2312"/>
                <w:sz w:val="21"/>
              </w:rPr>
              <w:t>2、供应商提供的服务，必须是符合国家有关标准要求，并满足磋商文件规定的价格、完成期限、售后服务及供应商须承担的技术支持和磋商文件规定的其它伴随服务等要求。</w:t>
            </w:r>
          </w:p>
          <w:p>
            <w:pPr>
              <w:pStyle w:val="null3"/>
              <w:ind w:firstLine="420"/>
              <w:jc w:val="both"/>
            </w:pPr>
            <w:r>
              <w:rPr>
                <w:rFonts w:ascii="仿宋_GB2312" w:hAnsi="仿宋_GB2312" w:cs="仿宋_GB2312" w:eastAsia="仿宋_GB2312"/>
                <w:sz w:val="21"/>
              </w:rPr>
              <w:t>3、采购人有权拒绝接受任何不合格的服务，由此产生的费用及相关后果均由供应商自行承担。</w:t>
            </w:r>
          </w:p>
          <w:p>
            <w:pPr>
              <w:pStyle w:val="null3"/>
              <w:ind w:firstLine="422"/>
              <w:jc w:val="both"/>
            </w:pPr>
            <w:r>
              <w:rPr>
                <w:rFonts w:ascii="仿宋_GB2312" w:hAnsi="仿宋_GB2312" w:cs="仿宋_GB2312" w:eastAsia="仿宋_GB2312"/>
                <w:sz w:val="21"/>
                <w:b/>
              </w:rPr>
              <w:t>四、付款方式、依据</w:t>
            </w:r>
          </w:p>
          <w:p>
            <w:pPr>
              <w:pStyle w:val="null3"/>
              <w:ind w:firstLine="420"/>
              <w:jc w:val="both"/>
            </w:pPr>
            <w:r>
              <w:rPr>
                <w:rFonts w:ascii="仿宋_GB2312" w:hAnsi="仿宋_GB2312" w:cs="仿宋_GB2312" w:eastAsia="仿宋_GB2312"/>
                <w:sz w:val="21"/>
              </w:rPr>
              <w:t>1、付款方式：合同签订且乙方向甲方提供勘察报告后支付合同总价款的80%，施工图审查合格后支付剩余合同总价款的20%。</w:t>
            </w:r>
          </w:p>
          <w:p>
            <w:pPr>
              <w:pStyle w:val="null3"/>
              <w:ind w:firstLine="420"/>
              <w:jc w:val="both"/>
            </w:pPr>
            <w:r>
              <w:rPr>
                <w:rFonts w:ascii="仿宋_GB2312" w:hAnsi="仿宋_GB2312" w:cs="仿宋_GB2312" w:eastAsia="仿宋_GB2312"/>
                <w:sz w:val="21"/>
              </w:rPr>
              <w:t>2、付款依据：乙方提供等额发票。</w:t>
            </w:r>
          </w:p>
          <w:p>
            <w:pPr>
              <w:pStyle w:val="null3"/>
              <w:ind w:firstLine="422"/>
              <w:jc w:val="both"/>
            </w:pPr>
            <w:r>
              <w:rPr>
                <w:rFonts w:ascii="仿宋_GB2312" w:hAnsi="仿宋_GB2312" w:cs="仿宋_GB2312" w:eastAsia="仿宋_GB2312"/>
                <w:sz w:val="21"/>
                <w:b/>
              </w:rPr>
              <w:t>五、商务要求：</w:t>
            </w:r>
          </w:p>
          <w:p>
            <w:pPr>
              <w:pStyle w:val="null3"/>
              <w:ind w:right="-105" w:firstLine="422"/>
              <w:jc w:val="both"/>
            </w:pPr>
            <w:r>
              <w:rPr>
                <w:rFonts w:ascii="仿宋_GB2312" w:hAnsi="仿宋_GB2312" w:cs="仿宋_GB2312" w:eastAsia="仿宋_GB2312"/>
                <w:sz w:val="21"/>
                <w:b/>
                <w:color w:val="000000"/>
              </w:rPr>
              <w:t>（一）价格：</w:t>
            </w:r>
          </w:p>
          <w:p>
            <w:pPr>
              <w:pStyle w:val="null3"/>
              <w:ind w:right="-105" w:firstLine="420"/>
              <w:jc w:val="both"/>
            </w:pPr>
            <w:r>
              <w:rPr>
                <w:rFonts w:ascii="仿宋_GB2312" w:hAnsi="仿宋_GB2312" w:cs="仿宋_GB2312" w:eastAsia="仿宋_GB2312"/>
                <w:sz w:val="21"/>
                <w:color w:val="000000"/>
              </w:rPr>
              <w:t>1.合同价包括：服务费、售后服务费、利润、税金、保险、相关伴随费用等的一切费用。</w:t>
            </w:r>
          </w:p>
          <w:p>
            <w:pPr>
              <w:pStyle w:val="null3"/>
              <w:ind w:right="-105" w:firstLine="420"/>
              <w:jc w:val="both"/>
            </w:pPr>
            <w:r>
              <w:rPr>
                <w:rFonts w:ascii="仿宋_GB2312" w:hAnsi="仿宋_GB2312" w:cs="仿宋_GB2312" w:eastAsia="仿宋_GB2312"/>
                <w:sz w:val="21"/>
                <w:color w:val="000000"/>
              </w:rPr>
              <w:t>2.合同有效期内，合同总价一次包死，不受国家政策性调价或原材料价格变化及外汇汇率变化的影响，并作为最终结算的唯一依据。</w:t>
            </w:r>
          </w:p>
          <w:p>
            <w:pPr>
              <w:pStyle w:val="null3"/>
              <w:ind w:right="-105" w:firstLine="420"/>
              <w:jc w:val="both"/>
            </w:pPr>
            <w:r>
              <w:rPr>
                <w:rFonts w:ascii="仿宋_GB2312" w:hAnsi="仿宋_GB2312" w:cs="仿宋_GB2312" w:eastAsia="仿宋_GB2312"/>
                <w:sz w:val="21"/>
                <w:color w:val="000000"/>
              </w:rPr>
              <w:t>3、服务承诺：供应商应遵照国家规范规定的技术服务内容及要求作出明确承诺。</w:t>
            </w:r>
          </w:p>
          <w:p>
            <w:pPr>
              <w:pStyle w:val="null3"/>
              <w:ind w:right="-105" w:firstLine="422"/>
              <w:jc w:val="both"/>
            </w:pPr>
            <w:r>
              <w:rPr>
                <w:rFonts w:ascii="仿宋_GB2312" w:hAnsi="仿宋_GB2312" w:cs="仿宋_GB2312" w:eastAsia="仿宋_GB2312"/>
                <w:sz w:val="21"/>
                <w:b/>
                <w:color w:val="000000"/>
              </w:rPr>
              <w:t>（二）质量安排排查保密要求：</w:t>
            </w:r>
          </w:p>
          <w:p>
            <w:pPr>
              <w:pStyle w:val="null3"/>
              <w:ind w:right="-105" w:firstLine="420"/>
              <w:jc w:val="both"/>
            </w:pPr>
            <w:r>
              <w:rPr>
                <w:rFonts w:ascii="仿宋_GB2312" w:hAnsi="仿宋_GB2312" w:cs="仿宋_GB2312" w:eastAsia="仿宋_GB2312"/>
                <w:sz w:val="21"/>
                <w:color w:val="000000"/>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w:t>
            </w:r>
            <w:r>
              <w:rPr>
                <w:rFonts w:ascii="仿宋_GB2312" w:hAnsi="仿宋_GB2312" w:cs="仿宋_GB2312" w:eastAsia="仿宋_GB2312"/>
                <w:sz w:val="21"/>
                <w:color w:val="000000"/>
              </w:rPr>
              <w:t>(包括刑事责任)。</w:t>
            </w:r>
          </w:p>
          <w:p>
            <w:pPr>
              <w:pStyle w:val="null3"/>
              <w:ind w:right="-105" w:firstLine="422"/>
              <w:jc w:val="both"/>
            </w:pPr>
            <w:r>
              <w:rPr>
                <w:rFonts w:ascii="仿宋_GB2312" w:hAnsi="仿宋_GB2312" w:cs="仿宋_GB2312" w:eastAsia="仿宋_GB2312"/>
                <w:sz w:val="21"/>
                <w:b/>
                <w:color w:val="000000"/>
              </w:rPr>
              <w:t>（三）质量保证：</w:t>
            </w:r>
          </w:p>
          <w:p>
            <w:pPr>
              <w:pStyle w:val="null3"/>
              <w:ind w:right="-105" w:firstLine="420"/>
              <w:jc w:val="both"/>
            </w:pPr>
            <w:r>
              <w:rPr>
                <w:rFonts w:ascii="仿宋_GB2312" w:hAnsi="仿宋_GB2312" w:cs="仿宋_GB2312" w:eastAsia="仿宋_GB2312"/>
                <w:sz w:val="21"/>
                <w:color w:val="000000"/>
              </w:rPr>
              <w:t>成交供应商保证服务质量完全符合合同规定的质量标准及国家有关规范和标准。</w:t>
            </w:r>
          </w:p>
          <w:p>
            <w:pPr>
              <w:pStyle w:val="null3"/>
              <w:ind w:right="-105" w:firstLine="420"/>
              <w:jc w:val="both"/>
            </w:pPr>
            <w:r>
              <w:rPr>
                <w:rFonts w:ascii="仿宋_GB2312" w:hAnsi="仿宋_GB2312" w:cs="仿宋_GB2312" w:eastAsia="仿宋_GB2312"/>
                <w:sz w:val="21"/>
                <w:color w:val="000000"/>
              </w:rPr>
              <w:t>（</w:t>
            </w:r>
            <w:r>
              <w:rPr>
                <w:rFonts w:ascii="仿宋_GB2312" w:hAnsi="仿宋_GB2312" w:cs="仿宋_GB2312" w:eastAsia="仿宋_GB2312"/>
                <w:sz w:val="21"/>
                <w:b/>
                <w:color w:val="000000"/>
              </w:rPr>
              <w:t>四）验收：</w:t>
            </w:r>
          </w:p>
          <w:p>
            <w:pPr>
              <w:pStyle w:val="null3"/>
              <w:ind w:right="-105" w:firstLine="420"/>
              <w:jc w:val="both"/>
            </w:pPr>
            <w:r>
              <w:rPr>
                <w:rFonts w:ascii="仿宋_GB2312" w:hAnsi="仿宋_GB2312" w:cs="仿宋_GB2312" w:eastAsia="仿宋_GB2312"/>
                <w:sz w:val="21"/>
                <w:color w:val="000000"/>
              </w:rPr>
              <w:t>1、成交供应商对最终的服务质量负完全责任。</w:t>
            </w:r>
          </w:p>
          <w:p>
            <w:pPr>
              <w:pStyle w:val="null3"/>
              <w:ind w:right="-105" w:firstLine="420"/>
              <w:jc w:val="both"/>
            </w:pPr>
            <w:r>
              <w:rPr>
                <w:rFonts w:ascii="仿宋_GB2312" w:hAnsi="仿宋_GB2312" w:cs="仿宋_GB2312" w:eastAsia="仿宋_GB2312"/>
                <w:sz w:val="21"/>
                <w:color w:val="000000"/>
              </w:rPr>
              <w:t>2、验收依据：</w:t>
            </w:r>
          </w:p>
          <w:p>
            <w:pPr>
              <w:pStyle w:val="null3"/>
              <w:ind w:right="-105"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1）合同；</w:t>
            </w:r>
          </w:p>
          <w:p>
            <w:pPr>
              <w:pStyle w:val="null3"/>
              <w:ind w:right="-105"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2）国家有关的验收标准及规范；</w:t>
            </w:r>
          </w:p>
          <w:p>
            <w:pPr>
              <w:pStyle w:val="null3"/>
              <w:ind w:right="-105"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3）竞争性磋商文件、竞争性磋商响应文件；</w:t>
            </w:r>
          </w:p>
          <w:p>
            <w:pPr>
              <w:pStyle w:val="null3"/>
              <w:ind w:right="-105" w:firstLine="422"/>
              <w:jc w:val="both"/>
            </w:pPr>
            <w:r>
              <w:rPr>
                <w:rFonts w:ascii="仿宋_GB2312" w:hAnsi="仿宋_GB2312" w:cs="仿宋_GB2312" w:eastAsia="仿宋_GB2312"/>
                <w:sz w:val="21"/>
                <w:b/>
                <w:color w:val="000000"/>
              </w:rPr>
              <w:t>（五）合同实施：</w:t>
            </w:r>
          </w:p>
          <w:p>
            <w:pPr>
              <w:pStyle w:val="null3"/>
              <w:ind w:right="-105" w:firstLine="420"/>
              <w:jc w:val="both"/>
            </w:pPr>
            <w:r>
              <w:rPr>
                <w:rFonts w:ascii="仿宋_GB2312" w:hAnsi="仿宋_GB2312" w:cs="仿宋_GB2312" w:eastAsia="仿宋_GB2312"/>
                <w:sz w:val="21"/>
                <w:color w:val="000000"/>
              </w:rPr>
              <w:t>1、成交供应商应在合同签订后尽快安排人员与采购单位就服务工作进行安排、部署。</w:t>
            </w:r>
          </w:p>
          <w:p>
            <w:pPr>
              <w:pStyle w:val="null3"/>
              <w:ind w:right="-105" w:firstLine="420"/>
              <w:jc w:val="both"/>
            </w:pPr>
            <w:r>
              <w:rPr>
                <w:rFonts w:ascii="仿宋_GB2312" w:hAnsi="仿宋_GB2312" w:cs="仿宋_GB2312" w:eastAsia="仿宋_GB2312"/>
                <w:sz w:val="21"/>
                <w:color w:val="000000"/>
              </w:rPr>
              <w:t>2、若因成交供应商原因未能在服务期内完成合同规定的义务，由此对采购人造成的延误和一切损失，由成交单位人承担和赔偿。</w:t>
            </w:r>
          </w:p>
          <w:p>
            <w:pPr>
              <w:pStyle w:val="null3"/>
              <w:ind w:right="-105" w:firstLine="422"/>
              <w:jc w:val="both"/>
            </w:pPr>
            <w:r>
              <w:rPr>
                <w:rFonts w:ascii="仿宋_GB2312" w:hAnsi="仿宋_GB2312" w:cs="仿宋_GB2312" w:eastAsia="仿宋_GB2312"/>
                <w:sz w:val="21"/>
                <w:b/>
                <w:color w:val="000000"/>
              </w:rPr>
              <w:t>注：商务要求为实质性要求，不得负偏离。</w:t>
            </w:r>
          </w:p>
          <w:p>
            <w:pPr>
              <w:pStyle w:val="null3"/>
              <w:ind w:firstLine="448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符合国家、省、市及行业相关规定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符合国家、省、市及行业相关规定</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符合国家、省、市及行业相关规定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自设备进场之日起30日内提交完整的勘察报告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1、成交供应商对最终的服务质量负完全责任。 2、验收依据： （1）合同； （2）国家有关的验收标准及规范； （3）竞争性磋商文件、竞争性磋商响应文件；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合同签订且乙方向甲方提供勘察报告后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施工图审查合格后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 由于发包单位未给勘察单位提供必要的工作条件而造成停、窝工，工期顺延。 2. 由于勘察单位原因造成勘察成果资料质量不合格，不能满足技术要求时，发包方有权解除合同，并要求勘察单位承担返工勘察费用，并赔偿由此给发包单位造成的损失。 3. 合同履行期间，由于工程停建而终止合同或发包方无故要求解除合同时，勘察单位未进行勘察工作的，发包方不支付任何费用； 进行勘察工作的，发包单位按勘察单位实际完成工作内容支付勘察费用。如因乙方原因无法开展勘察工作，定金双倍返还。 4. 发包单位未按合同规定时间(日期)拨付勘察费，应按同业拆借中心公布的市场报价利率标准向勘察单位支付利息。 5.由于勘察单位原因未按合同规定时间(日期)提交勘察成果资料，每超过一日，应按本工程勘察费的千分之一的标准向发包单位支付逾期违约金，并承担由此给发包单位造成的损失，逾期超过 20 天，发包单位有权解除本合同，勘察单位除应退还发包单位已支付全部价款外，还应向发包单位支付本合同总价款 20%违约金，违约金不足以弥补发包单位损失的，勘察单位应予补足。前述款项发包单位可以从未支付的勘察费中直接扣留。 6. 双方均应按本合同约定履行合同义务，否则违约方应承担守约方向其主张权利的合理费用（包括但不限于诉讼费、保全费、律师费、鉴定费、差旅费等）。 二: 本合同发生争议,发包单位、勘察单位应及时协商解决，也可由发包单位所在地建设行政主管部门调解，协商或调解不成时，本合同任何一方均可向 发包单位所在地 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符合国家、省、市及行业相关规定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法定代表人授权委托书（附法定代表人、被授权人身份证复印件）或法定代表人身份证明（法定代表人直接参加投标，须提供法定代表人身份证明及身份证复印件）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供应商须具备行政主管部门核发的工程勘察综合类甲级资质或岩土工程勘察乙级及以上资质。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拟派项目负责人须具备土木工程师（岩土）执业资格，且在本单位注册。</w:t>
            </w:r>
          </w:p>
        </w:tc>
        <w:tc>
          <w:tcPr>
            <w:tcW w:type="dxa" w:w="1661"/>
          </w:tcPr>
          <w:p>
            <w:pPr>
              <w:pStyle w:val="null3"/>
            </w:pPr>
            <w:r>
              <w:rPr>
                <w:rFonts w:ascii="仿宋_GB2312" w:hAnsi="仿宋_GB2312" w:cs="仿宋_GB2312" w:eastAsia="仿宋_GB2312"/>
              </w:rPr>
              <w:t>服务内容及服务邀请应答表 服务方案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参与的供应商（联合体）全部为符合政策要求的中小企业。</w:t>
            </w:r>
          </w:p>
        </w:tc>
        <w:tc>
          <w:tcPr>
            <w:tcW w:type="dxa" w:w="1661"/>
          </w:tcPr>
          <w:p>
            <w:pPr>
              <w:pStyle w:val="null3"/>
            </w:pPr>
            <w:r>
              <w:rPr>
                <w:rFonts w:ascii="仿宋_GB2312" w:hAnsi="仿宋_GB2312" w:cs="仿宋_GB2312" w:eastAsia="仿宋_GB2312"/>
              </w:rPr>
              <w:t>残疾人福利性单位声明函 供应商应提交的相关资格证明材料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响应文件封面 服务内容及服务邀请应答表 服务方案 供应商应提交的相关资格证明材料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响应文件封面 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商务应答表 供应商应提交的相关资格证明材料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提供针对本项目的勘察服务方案，描述详细，方案满足项目服务要求，能实现项目目标，磋商小组成员根据其响应情况赋分，本项满分 13分。 方案描述详细、满足项目要求，能够实现项目目标，计 10.1-13分；方案描述较详细，仅响应总体方案和服务方案但无实施计划，计 5.1-10 分； 方案描述简单，内容未满足项目勘察基本服务要求，计 0.1-5分；未提供的不计分。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针对本项目重难点的分析及应对措施，磋商小组成员根据其响应情况进行赋分，本项满分 13分。 重难点分析全面、应对措施详细可行，计 10.1-13 分； 重难点分析不足、应对措施一般，计 5.1-10 分； 重难点理解不到位、应对措施较差，计 0.1-5 分； 未提供不得分。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工作进度安排及确保服务期的保证措施</w:t>
            </w:r>
          </w:p>
        </w:tc>
        <w:tc>
          <w:tcPr>
            <w:tcW w:type="dxa" w:w="2492"/>
          </w:tcPr>
          <w:p>
            <w:pPr>
              <w:pStyle w:val="null3"/>
            </w:pPr>
            <w:r>
              <w:rPr>
                <w:rFonts w:ascii="仿宋_GB2312" w:hAnsi="仿宋_GB2312" w:cs="仿宋_GB2312" w:eastAsia="仿宋_GB2312"/>
              </w:rPr>
              <w:t>工作进度安排及确保服务期的保证措施，磋商小组成员根据其响应情况进行赋分，本项满分 13分。 工作进度安排科学合理、确保服务期的保证措施详细具体 ，计10.1-13 分；工作进度安排较为合理、保证措施较为详细，计 5.1-10 分；工作进度安排不合理、保证措施较差，计 0.1-5 分； 未提供不计分。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提供具体的质量保障方案，针对本项目工作过程质量控制措施与建议的合理性，磋商小组成员根据其响应情况进行赋分，本项满分 13分。 质量保障方案描述详细、满足项目需求，计10.1-13分； 质量保障方案描述较详细、能基本满足项目需求，计 5.1-10 分；质量保障方案描述简单、措施可操作性不强，计0.1-5分； 未提供不计分。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供应商根据本项目的服务内容，做出切实可行的服务承诺，确保项目能按时按质完成。磋商小组成员根据其响应情况进行赋分，本项满分 13 分。 承诺内容清晰性、承诺指标明确性，后续服务具有可延续性，计10.1-13分； 承诺内容及承诺指标描述较为简单，具有一定的可行性，计 5.1-10分； 承诺内容、承诺指标粗略措施，可操作性不强，不能满足项目基本要求，计 0.1-5 分； 未提供的不计分。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团队及人员情况</w:t>
            </w:r>
          </w:p>
        </w:tc>
        <w:tc>
          <w:tcPr>
            <w:tcW w:type="dxa" w:w="2492"/>
          </w:tcPr>
          <w:p>
            <w:pPr>
              <w:pStyle w:val="null3"/>
            </w:pPr>
            <w:r>
              <w:rPr>
                <w:rFonts w:ascii="仿宋_GB2312" w:hAnsi="仿宋_GB2312" w:cs="仿宋_GB2312" w:eastAsia="仿宋_GB2312"/>
              </w:rPr>
              <w:t>提供拟派本项目工作人员、服务队伍配备合理，有针对本项目的专项服务小组，项目负责人、工作人员分工明确。磋商小组成员根据其响应情况进行赋分，本项满分 11 分。 （1）项目负责人具有相关专业中级及以上职称，满足者得 3 分，不满足不得分。 （2）提供拟投入本项目技术人员配备情况表，岗位及专业设置合理、职责明确，投入专业技术人员中具备中级职称证书的，提供 1人得 2 分，最多得8 分。（须附员工社保证明）</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供应商近三年（2022 年 1 月至今）承担类似项目的，提供一个得3 分，最高不超过 9 分。 上述业绩证明材料以中标通知书或合同扫描件加盖公章为准， 日期以合同签订时间为准，合同文本需体现合同范围、签订时间、首尾页及签字盖章页，否则不计分。（如公司名称发生变更，必须提供工商部门证明文件）</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价格分采用低价优先法计算，即满足磋商文件要求且投标价格最低的投标报价为评审基准价，其价格分为满分。其他投标人的价格分统一按照下列公式计算： 投标报价得分=（评审基准价/投标报价） ×15 投标报价明显低于其他投标人，经磋商小组质询后不能在规定时间内说明理由，或说明理由但评审委员会认为理由不能成立的，客观上形成不良竞争，按无效标处理。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详见附件：勘察合同.docx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