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版本号：SXLX25-01-080Z(H)20250814001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校园安全智能化管理系统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SXLX25-01-080Z(H)</w:t>
      </w:r>
      <w:r>
        <w:br/>
      </w:r>
      <w:r>
        <w:br/>
      </w:r>
      <w:r>
        <w:br/>
      </w:r>
    </w:p>
    <w:p>
      <w:pPr>
        <w:pStyle w:val="null3"/>
        <w:jc w:val="center"/>
        <w:outlineLvl w:val="2"/>
      </w:pPr>
      <w:r>
        <w:rPr>
          <w:rFonts w:ascii="仿宋_GB2312" w:hAnsi="仿宋_GB2312" w:cs="仿宋_GB2312" w:eastAsia="仿宋_GB2312"/>
          <w:sz w:val="28"/>
          <w:b/>
        </w:rPr>
        <w:t>西安市东仪中学</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西安市东仪中学</w:t>
      </w:r>
      <w:r>
        <w:rPr>
          <w:rFonts w:ascii="仿宋_GB2312" w:hAnsi="仿宋_GB2312" w:cs="仿宋_GB2312" w:eastAsia="仿宋_GB2312"/>
        </w:rPr>
        <w:t>委托，拟对</w:t>
      </w:r>
      <w:r>
        <w:rPr>
          <w:rFonts w:ascii="仿宋_GB2312" w:hAnsi="仿宋_GB2312" w:cs="仿宋_GB2312" w:eastAsia="仿宋_GB2312"/>
        </w:rPr>
        <w:t>校园安全智能化管理系统</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SXLX25-01-080Z(H)</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校园安全智能化管理系统</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东仪中学拟对校园安全智能化管理等方面进行提升改造，采购内容涵盖硬件设备、软件平台及配套服务三大类别，其中包含：1、构建校园安全智能化管理基础平台；2、对校园教学楼进行安全网格化分区、并在每个区域配置安全管理设备、AI智能语音识别设备等；3、针对校门口部署校门口管理设备，对访客管理、学生出入、校门口环境治理进行提升。需满足的要求:校园安全管理,要求所有货物（产品）质量合格、安装、调试到位、验收合格达到交钥匙使用条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采购包1（校园安全智能化管理系统）：属于专门面向小微企业采购。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西安市东仪中学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西安市雁塔区明德二路36号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张笑</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029-85565255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西安市雁塔区雁翔路111号赛格·中京坊6幢1单元2层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任甜、郑婧婧、杜航、李亚男、袁歆雨、刘晶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029-88489979-8105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关于进一步放开建设项目专项业务服务价格的通知》（发改价格〔2015〕299号）规定的标准收取，不足捌仟圆按捌仟圆收取，此服务费应计入投标报价中，但不需要单独开列，具体收费金额将在成交公告中公布。 请将采购代理服务费汇至下列指定账户： 开户名称：陕西隆信项目管理有限公司 开 户 行：招商银行股份有限公司西安土门支行 账 号：129904064810902 财务部电话：029-88489979-8501 （备注：项目名称+代理服务费）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西安市东仪中学</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西安市东仪中学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西安市东仪中学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陕西隆信项目管理有限公司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根据采购文件规定的验收标准和方法进行验收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联系人：任甜、郑婧婧、杜航、李亚男、袁歆雨、刘晶</w:t>
      </w:r>
    </w:p>
    <w:p>
      <w:pPr>
        <w:pStyle w:val="null3"/>
      </w:pPr>
      <w:r>
        <w:rPr>
          <w:rFonts w:ascii="仿宋_GB2312" w:hAnsi="仿宋_GB2312" w:cs="仿宋_GB2312" w:eastAsia="仿宋_GB2312"/>
        </w:rPr>
        <w:t>联系电话：029-88489979-8105</w:t>
      </w:r>
    </w:p>
    <w:p>
      <w:pPr>
        <w:pStyle w:val="null3"/>
      </w:pPr>
      <w:r>
        <w:rPr>
          <w:rFonts w:ascii="仿宋_GB2312" w:hAnsi="仿宋_GB2312" w:cs="仿宋_GB2312" w:eastAsia="仿宋_GB2312"/>
        </w:rPr>
        <w:t>地址：西安市雁塔区雁翔路111号赛格·中京坊6幢1单元2层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东仪中学拟对校园安全智能化管理等方面进行提升改造，采购内容涵盖硬件设备、软件平台及配套服务三大类别，其中包含：1、构建校园安全智能化管理基础平台；2、对校园教学楼进行安全网格化分区、并在每个区域配置安全管理设备、AI智能语音识别设备等；3、针对校门口部署校门口管理设备，对访客管理、学生出入、校门口环境治理进行提升。需满足的要求:校园安全管理,要求所有货物（产品）质量合格、安装、调试到位、验收合格达到交钥匙使用条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校园安全智能化管理系统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标的名称：校园安全智能化管理系统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一、采购需求及要求</w:t>
            </w:r>
          </w:p>
          <w:p>
            <w:pPr>
              <w:pStyle w:val="null3"/>
              <w:ind w:firstLine="420"/>
              <w:jc w:val="both"/>
            </w:pPr>
            <w:r>
              <w:rPr>
                <w:rFonts w:ascii="仿宋_GB2312" w:hAnsi="仿宋_GB2312" w:cs="仿宋_GB2312" w:eastAsia="仿宋_GB2312"/>
                <w:sz w:val="21"/>
                <w:color w:val="000000"/>
              </w:rPr>
              <w:t>1.1采购需求清单：详见附表</w:t>
            </w:r>
            <w:r>
              <w:rPr>
                <w:rFonts w:ascii="仿宋_GB2312" w:hAnsi="仿宋_GB2312" w:cs="仿宋_GB2312" w:eastAsia="仿宋_GB2312"/>
                <w:sz w:val="21"/>
                <w:color w:val="000000"/>
              </w:rPr>
              <w:t>:</w:t>
            </w:r>
            <w:r>
              <w:rPr>
                <w:rFonts w:ascii="仿宋_GB2312" w:hAnsi="仿宋_GB2312" w:cs="仿宋_GB2312" w:eastAsia="仿宋_GB2312"/>
                <w:sz w:val="21"/>
                <w:color w:val="000000"/>
              </w:rPr>
              <w:t>校园安全智能化管理系统</w:t>
            </w:r>
            <w:r>
              <w:rPr>
                <w:rFonts w:ascii="仿宋_GB2312" w:hAnsi="仿宋_GB2312" w:cs="仿宋_GB2312" w:eastAsia="仿宋_GB2312"/>
                <w:sz w:val="21"/>
                <w:color w:val="000000"/>
              </w:rPr>
              <w:t>采购需求清单（注：需求清单一览表中的</w:t>
            </w:r>
            <w:r>
              <w:rPr>
                <w:rFonts w:ascii="仿宋_GB2312" w:hAnsi="仿宋_GB2312" w:cs="仿宋_GB2312" w:eastAsia="仿宋_GB2312"/>
                <w:sz w:val="21"/>
                <w:color w:val="000000"/>
              </w:rPr>
              <w:t>★号技术指标参数，供应商未按要求提供相关证明材料或技术指标参数存在负偏离的，均按无效响应）。</w:t>
            </w:r>
          </w:p>
          <w:p>
            <w:pPr>
              <w:pStyle w:val="null3"/>
              <w:ind w:firstLine="420"/>
              <w:jc w:val="both"/>
            </w:pPr>
            <w:r>
              <w:rPr>
                <w:rFonts w:ascii="仿宋_GB2312" w:hAnsi="仿宋_GB2312" w:cs="仿宋_GB2312" w:eastAsia="仿宋_GB2312"/>
                <w:sz w:val="21"/>
                <w:color w:val="000000"/>
              </w:rPr>
              <w:t>1.2供应商应按要求提供所投的设备（产品）的技术资料（不限于原厂印刷的产品说明书、质量证书、检测报告、合格证、官网截图等）；供应商应保证投标所提供的第三方资料内容真实、完整、准确；如有相关第三方书面声明、相关检测报告等资料虚假，监管部门有权根据调查情形认定其是否属于提供虚假材料谋取中标（成交），并严肃处理。</w:t>
            </w:r>
          </w:p>
          <w:p>
            <w:pPr>
              <w:pStyle w:val="null3"/>
              <w:ind w:firstLine="422"/>
              <w:jc w:val="both"/>
            </w:pPr>
            <w:r>
              <w:rPr>
                <w:rFonts w:ascii="仿宋_GB2312" w:hAnsi="仿宋_GB2312" w:cs="仿宋_GB2312" w:eastAsia="仿宋_GB2312"/>
                <w:sz w:val="21"/>
                <w:color w:val="000000"/>
              </w:rPr>
              <w:t>1.3产品“三包”要求：货物（产品）属于国家规定的“三包产品”，产品制造商、经销代理商应遵守“三包”的规定，在产品发生质量问题时，及时对所提供产品实行“包退、包换、保修”服务。</w:t>
            </w:r>
          </w:p>
          <w:p>
            <w:pPr>
              <w:pStyle w:val="null3"/>
              <w:ind w:firstLine="422"/>
              <w:jc w:val="both"/>
            </w:pPr>
            <w:r>
              <w:rPr>
                <w:rFonts w:ascii="仿宋_GB2312" w:hAnsi="仿宋_GB2312" w:cs="仿宋_GB2312" w:eastAsia="仿宋_GB2312"/>
                <w:sz w:val="21"/>
                <w:color w:val="000000"/>
              </w:rPr>
              <w:t>1.4安全要求：认真贯彻执行国家及省、市有关安全文明生产的法律法规规章和强制性标准、安全操作规程等，所有设备（产品）应符合国家相关安全标准，所有货物（产品）能够承受频繁使用和可能的不当操作，结构稳定，不易倾倒或损坏；货物（产品）无锐利边角、无毒无害、不易造成意外伤害，部分尺寸可调节的产品应与实际使用场地相匹配；建立健全安装现场安全文明生产保证体系，落实各项具体措施，切实履行安全文明生产责任和义务，保护职工身体健康和生命安全，以及社会公众安全，保持安装现场整齐有序。</w:t>
            </w:r>
          </w:p>
          <w:p>
            <w:pPr>
              <w:pStyle w:val="null3"/>
              <w:ind w:firstLine="422"/>
              <w:jc w:val="both"/>
            </w:pPr>
            <w:r>
              <w:rPr>
                <w:rFonts w:ascii="仿宋_GB2312" w:hAnsi="仿宋_GB2312" w:cs="仿宋_GB2312" w:eastAsia="仿宋_GB2312"/>
                <w:sz w:val="21"/>
                <w:color w:val="000000"/>
              </w:rPr>
              <w:t>1.5质量标准及要求：（1）所有货物（产品）、服务符合国家、省、市（行业）强制性标准及采购人要求的合格标准；</w:t>
            </w:r>
          </w:p>
          <w:p>
            <w:pPr>
              <w:pStyle w:val="null3"/>
              <w:ind w:firstLine="422"/>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货物（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未制定国家标准、行业标准的，必须符合保障人体健康和人身、财产安全的要求。</w:t>
            </w:r>
          </w:p>
          <w:p>
            <w:pPr>
              <w:pStyle w:val="null3"/>
              <w:ind w:firstLine="422"/>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货物（产品）、服务执行的标准、规范：必须执行国家、行业强制性标准；没有国家、行业强制性标准的按①国家标准、规范→②行业标准、规范→③地方标准、规范→④团体标准、规范→⑤企业标准、规范类推顺序执行；凡涉及的相关规范，国家有最新标准的以最新标准为准，所有标准哪个标准高执行哪个标准。</w:t>
            </w:r>
          </w:p>
          <w:p>
            <w:pPr>
              <w:pStyle w:val="null3"/>
              <w:ind w:firstLine="422"/>
              <w:jc w:val="both"/>
            </w:pPr>
            <w:r>
              <w:rPr>
                <w:rFonts w:ascii="仿宋_GB2312" w:hAnsi="仿宋_GB2312" w:cs="仿宋_GB2312" w:eastAsia="仿宋_GB2312"/>
                <w:sz w:val="21"/>
                <w:color w:val="000000"/>
              </w:rPr>
              <w:t>1.6为保证货物（软件和硬件）质量和功能的严谨性，中标（成交）后采购人有权要求成交供应商对其所提供的设备（产品）（包含软件和硬件）的功能进行逐一演示，如有功能与实际不相符，一律按虚假应标处理，由成交供应商承担因此产生的一切后果和责任。</w:t>
            </w:r>
          </w:p>
          <w:p>
            <w:pPr>
              <w:pStyle w:val="null3"/>
              <w:ind w:firstLine="420"/>
              <w:jc w:val="both"/>
            </w:pPr>
            <w:r>
              <w:rPr>
                <w:rFonts w:ascii="仿宋_GB2312" w:hAnsi="仿宋_GB2312" w:cs="仿宋_GB2312" w:eastAsia="仿宋_GB2312"/>
                <w:sz w:val="21"/>
                <w:color w:val="000000"/>
              </w:rPr>
              <w:t>1.7售后服务要求：（1）成交供应商须指派专人负责与采购人联系售后服务事宜；</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2）成交供应商负责货物的现场安装、调试、测试和启动等；</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成交供应商负责货物的安装、启动、运行及维护等对使用人员进行免费培训：培训主要内容为货物的基本结构、性能、主要部件的构造及原理，日常使用操作、维护保养与管理，常见故障的排除、紧急情况的处理等，如使用方未使用过同类型货物，成交供应商还需就货物的功能对使用方人员进行相应的技术培训，培训地点为货物安装现场或由采购人安排；</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4）质保期自采购人在质量验收单（终验）上签字之日起计算，质保费用计入总价；</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成交供应商负责对其提供的货物整体进行维修和系统维护，质保期内应无偿负责现场技术巡检、维修和替换等工作；若遇到采购人重大活动需无条件提供现场技术支持服务且不再收取任何费用，但不可抗力（如火灾、雷击等）造成的故障除外；超出质保期只收取维修所需原设备、材料成本费用；</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6）成交供应商负责对其所提供的设备、材料等备品配件供应，提供长期维修，并提供技术咨询等服务，所有维修记录交由采购人的现场技术人员一份，并详细说明问题所在、解决办法及注意事项；</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7）货物故障报修的响应时间为：7x24小时免费上门服务；</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所有货物服务方式均为成交供应商上门服务，即由成交供应商派人到货物使用现场维修，由此产生的一切费用均由成交供应商承担，对系统进行定期的检修、保养工作，并与用户进行沟通，定期开展技术交流活动，预防故障发生，保证系统的正常运行；</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9）在保修期内更换系统中的零部件，其保修期应相应延长；</w:t>
            </w:r>
          </w:p>
          <w:p>
            <w:pPr>
              <w:pStyle w:val="null3"/>
              <w:ind w:firstLine="42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10）质保期结束后的维修、维护等由双方协商再定。</w:t>
            </w:r>
          </w:p>
          <w:p>
            <w:pPr>
              <w:pStyle w:val="null3"/>
              <w:jc w:val="both"/>
            </w:pPr>
            <w:r>
              <w:rPr>
                <w:rFonts w:ascii="仿宋_GB2312" w:hAnsi="仿宋_GB2312" w:cs="仿宋_GB2312" w:eastAsia="仿宋_GB2312"/>
                <w:sz w:val="21"/>
                <w:b/>
                <w:color w:val="000000"/>
              </w:rPr>
              <w:t>二、其他要求或说明</w:t>
            </w:r>
          </w:p>
          <w:p>
            <w:pPr>
              <w:pStyle w:val="null3"/>
              <w:ind w:right="90" w:firstLine="422"/>
              <w:jc w:val="both"/>
            </w:pPr>
            <w:r>
              <w:rPr>
                <w:rFonts w:ascii="仿宋_GB2312" w:hAnsi="仿宋_GB2312" w:cs="仿宋_GB2312" w:eastAsia="仿宋_GB2312"/>
                <w:sz w:val="21"/>
                <w:color w:val="000000"/>
              </w:rPr>
              <w:t>2.1人员配置要求：供应商根据采购项目特性及要求，自行组织实施与管理，建立以负责人为核心的履行合同所必需人员团队，相关人员经过严格培训，有相关工作经验，能够胜任项目工作，保证项目顺利实施。</w:t>
            </w:r>
          </w:p>
          <w:p>
            <w:pPr>
              <w:pStyle w:val="null3"/>
              <w:ind w:right="90" w:firstLine="422"/>
              <w:jc w:val="both"/>
            </w:pPr>
            <w:r>
              <w:rPr>
                <w:rFonts w:ascii="仿宋_GB2312" w:hAnsi="仿宋_GB2312" w:cs="仿宋_GB2312" w:eastAsia="仿宋_GB2312"/>
                <w:sz w:val="21"/>
                <w:color w:val="000000"/>
              </w:rPr>
              <w:t>2.2设施设备要求：供应商根据采购项目特性及要求，自行配置投入履行合同所必需的各类设施设备（不限于专业设备、辅助设备、工具、软件等），保证项目顺利实施。</w:t>
            </w:r>
          </w:p>
          <w:p>
            <w:pPr>
              <w:pStyle w:val="null3"/>
              <w:ind w:firstLine="210"/>
            </w:pPr>
            <w:r>
              <w:rPr>
                <w:rFonts w:ascii="仿宋_GB2312" w:hAnsi="仿宋_GB2312" w:cs="仿宋_GB2312" w:eastAsia="仿宋_GB2312"/>
                <w:sz w:val="21"/>
                <w:color w:val="000000"/>
              </w:rPr>
              <w:t>★2.3核心产品的名称：分级管控终端</w:t>
            </w:r>
          </w:p>
          <w:p>
            <w:pPr>
              <w:pStyle w:val="null3"/>
              <w:ind w:firstLine="420"/>
            </w:pPr>
            <w:r>
              <w:rPr>
                <w:rFonts w:ascii="仿宋_GB2312" w:hAnsi="仿宋_GB2312" w:cs="仿宋_GB2312" w:eastAsia="仿宋_GB2312"/>
                <w:sz w:val="21"/>
                <w:color w:val="000000"/>
              </w:rPr>
              <w:t>2.</w:t>
            </w:r>
            <w:r>
              <w:rPr>
                <w:rFonts w:ascii="仿宋_GB2312" w:hAnsi="仿宋_GB2312" w:cs="仿宋_GB2312" w:eastAsia="仿宋_GB2312"/>
                <w:sz w:val="21"/>
                <w:color w:val="000000"/>
              </w:rPr>
              <w:t>4</w:t>
            </w:r>
            <w:r>
              <w:rPr>
                <w:rFonts w:ascii="仿宋_GB2312" w:hAnsi="仿宋_GB2312" w:cs="仿宋_GB2312" w:eastAsia="仿宋_GB2312"/>
                <w:sz w:val="21"/>
                <w:color w:val="000000"/>
              </w:rPr>
              <w:t>本项目标的所属行业为</w:t>
            </w:r>
            <w:r>
              <w:rPr>
                <w:rFonts w:ascii="仿宋_GB2312" w:hAnsi="仿宋_GB2312" w:cs="仿宋_GB2312" w:eastAsia="仿宋_GB2312"/>
                <w:sz w:val="21"/>
                <w:color w:val="000000"/>
              </w:rPr>
              <w:t>:</w:t>
            </w:r>
            <w:r>
              <w:rPr>
                <w:rFonts w:ascii="仿宋_GB2312" w:hAnsi="仿宋_GB2312" w:cs="仿宋_GB2312" w:eastAsia="仿宋_GB2312"/>
                <w:u w:val="single"/>
              </w:rPr>
              <w:t xml:space="preserve"> </w:t>
            </w:r>
            <w:r>
              <w:rPr>
                <w:rFonts w:ascii="仿宋_GB2312" w:hAnsi="仿宋_GB2312" w:cs="仿宋_GB2312" w:eastAsia="仿宋_GB2312"/>
                <w:sz w:val="21"/>
                <w:color w:val="000000"/>
                <w:u w:val="single"/>
              </w:rPr>
              <w:t>工业</w:t>
            </w:r>
            <w:r>
              <w:rPr>
                <w:rFonts w:ascii="仿宋_GB2312" w:hAnsi="仿宋_GB2312" w:cs="仿宋_GB2312" w:eastAsia="仿宋_GB2312"/>
                <w:u w:val="single"/>
              </w:rPr>
              <w:t xml:space="preserve"> </w:t>
            </w:r>
            <w:r>
              <w:rPr>
                <w:rFonts w:ascii="仿宋_GB2312" w:hAnsi="仿宋_GB2312" w:cs="仿宋_GB2312" w:eastAsia="仿宋_GB2312"/>
                <w:sz w:val="21"/>
                <w:color w:val="000000"/>
              </w:rPr>
              <w:t>（从业人员</w:t>
            </w:r>
            <w:r>
              <w:rPr>
                <w:rFonts w:ascii="仿宋_GB2312" w:hAnsi="仿宋_GB2312" w:cs="仿宋_GB2312" w:eastAsia="仿宋_GB2312"/>
                <w:sz w:val="21"/>
                <w:color w:val="000000"/>
              </w:rPr>
              <w:t>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ind w:firstLine="420"/>
            </w:pPr>
            <w:r>
              <w:rPr>
                <w:rFonts w:ascii="仿宋_GB2312" w:hAnsi="仿宋_GB2312" w:cs="仿宋_GB2312" w:eastAsia="仿宋_GB2312"/>
                <w:sz w:val="21"/>
                <w:color w:val="000000"/>
              </w:rPr>
              <w:t>校园安全智能化管理系统</w:t>
            </w:r>
            <w:r>
              <w:rPr>
                <w:rFonts w:ascii="仿宋_GB2312" w:hAnsi="仿宋_GB2312" w:cs="仿宋_GB2312" w:eastAsia="仿宋_GB2312"/>
                <w:sz w:val="21"/>
                <w:color w:val="000000"/>
              </w:rPr>
              <w:t>采购需求清单</w:t>
            </w:r>
          </w:p>
          <w:tbl>
            <w:tblPr>
              <w:tblInd w:type="dxa" w:w="135"/>
              <w:tblBorders>
                <w:top w:val="none" w:color="000000" w:sz="4"/>
                <w:left w:val="none" w:color="000000" w:sz="4"/>
                <w:bottom w:val="none" w:color="000000" w:sz="4"/>
                <w:right w:val="none" w:color="000000" w:sz="4"/>
                <w:insideH w:val="none"/>
                <w:insideV w:val="none"/>
              </w:tblBorders>
            </w:tblPr>
            <w:tblGrid>
              <w:gridCol w:w="148"/>
              <w:gridCol w:w="137"/>
              <w:gridCol w:w="137"/>
              <w:gridCol w:w="1696"/>
              <w:gridCol w:w="137"/>
              <w:gridCol w:w="137"/>
              <w:gridCol w:w="148"/>
            </w:tblGrid>
            <w:tr>
              <w:tc>
                <w:tcPr>
                  <w:tcW w:type="dxa" w:w="148"/>
                  <w:tcBorders>
                    <w:top w:val="single" w:color="000000" w:sz="4"/>
                    <w:left w:val="singl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137"/>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项目</w:t>
                  </w:r>
                </w:p>
              </w:tc>
              <w:tc>
                <w:tcPr>
                  <w:tcW w:type="dxa" w:w="137"/>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p>
              </w:tc>
              <w:tc>
                <w:tcPr>
                  <w:tcW w:type="dxa" w:w="1696"/>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功能说明</w:t>
                  </w:r>
                </w:p>
              </w:tc>
              <w:tc>
                <w:tcPr>
                  <w:tcW w:type="dxa" w:w="137"/>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37"/>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148"/>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1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校园安全智能化管理系统软件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基础平台</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1、平台框架：平台采用微服务架构体系，提供多种应用程序，包括但不限于：管理端、个人端、公众号、小程序、家校互动、桌面端、各应用特定软件端等；</w:t>
                  </w:r>
                  <w:r>
                    <w:br/>
                  </w:r>
                  <w:r>
                    <w:rPr>
                      <w:rFonts w:ascii="仿宋_GB2312" w:hAnsi="仿宋_GB2312" w:cs="仿宋_GB2312" w:eastAsia="仿宋_GB2312"/>
                      <w:sz w:val="20"/>
                    </w:rPr>
                    <w:t>2、角色权限：统一管理多个应用系统中涉及的各类权限，包括但不限于：显示权限、编辑权限、删除权限、数据范围权限等；</w:t>
                  </w:r>
                  <w:r>
                    <w:br/>
                  </w:r>
                  <w:r>
                    <w:rPr>
                      <w:rFonts w:ascii="仿宋_GB2312" w:hAnsi="仿宋_GB2312" w:cs="仿宋_GB2312" w:eastAsia="仿宋_GB2312"/>
                      <w:sz w:val="20"/>
                    </w:rPr>
                    <w:t>3、统一认证：实现用户一次登录平台门户，即可使用系统中所提供的各项授权服务。认证中心主要包括身份认证、授权访问控制等功能。除账号密码登录之外，系统支持短信验证登录、微信及手机号快速登录；</w:t>
                  </w:r>
                  <w:r>
                    <w:br/>
                  </w:r>
                  <w:r>
                    <w:rPr>
                      <w:rFonts w:ascii="仿宋_GB2312" w:hAnsi="仿宋_GB2312" w:cs="仿宋_GB2312" w:eastAsia="仿宋_GB2312"/>
                      <w:sz w:val="20"/>
                    </w:rPr>
                    <w:t>4、统一用户管理：统一管理多个应用系统中涉及的各类用户信息，包括但不限于：各级各部门领导、教师、学生、家长、保安基本信息、人脸信息等；</w:t>
                  </w:r>
                  <w:r>
                    <w:br/>
                  </w:r>
                  <w:r>
                    <w:rPr>
                      <w:rFonts w:ascii="仿宋_GB2312" w:hAnsi="仿宋_GB2312" w:cs="仿宋_GB2312" w:eastAsia="仿宋_GB2312"/>
                      <w:sz w:val="20"/>
                    </w:rPr>
                    <w:t>5、基础模块：包括但不限于角色权限、用户管理、组织结构、设备管理、应用管理等模块；</w:t>
                  </w:r>
                  <w:r>
                    <w:br/>
                  </w:r>
                  <w:r>
                    <w:rPr>
                      <w:rFonts w:ascii="仿宋_GB2312" w:hAnsi="仿宋_GB2312" w:cs="仿宋_GB2312" w:eastAsia="仿宋_GB2312"/>
                      <w:sz w:val="20"/>
                    </w:rPr>
                    <w:t>6、集成管理：提供统一接口，可与第三方应用对接校园平台。</w:t>
                  </w:r>
                </w:p>
              </w:tc>
              <w:tc>
                <w:tcPr>
                  <w:tcW w:type="dxa" w:w="1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8"/>
                  <w:vMerge/>
                  <w:tcBorders>
                    <w:top w:val="none" w:color="000000" w:sz="4"/>
                    <w:left w:val="single" w:color="000000" w:sz="4"/>
                    <w:bottom w:val="single" w:color="000000" w:sz="4"/>
                    <w:right w:val="single" w:color="000000" w:sz="4"/>
                  </w:tcBorders>
                </w:tcPr>
                <w:p/>
              </w:tc>
              <w:tc>
                <w:tcPr>
                  <w:tcW w:type="dxa" w:w="137"/>
                  <w:vMerge/>
                  <w:tcBorders>
                    <w:top w:val="none" w:color="000000" w:sz="4"/>
                    <w:left w:val="none" w:color="000000" w:sz="4"/>
                    <w:bottom w:val="single" w:color="000000" w:sz="4"/>
                    <w:right w:val="single" w:color="000000" w:sz="4"/>
                  </w:tcBorders>
                </w:tc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安全管理系统</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0"/>
                    </w:rPr>
                    <w:t>系统需涵盖日常安全管理、安全预防管理、专项安全管理、应急事件管理四大核心模块，并实现以下关键功能：</w:t>
                  </w:r>
                  <w:r>
                    <w:br/>
                  </w:r>
                  <w:r>
                    <w:rPr>
                      <w:rFonts w:ascii="仿宋_GB2312" w:hAnsi="仿宋_GB2312" w:cs="仿宋_GB2312" w:eastAsia="仿宋_GB2312"/>
                      <w:sz w:val="20"/>
                    </w:rPr>
                    <w:t>（一）日常安全管理</w:t>
                  </w:r>
                  <w:r>
                    <w:br/>
                  </w:r>
                  <w:r>
                    <w:rPr>
                      <w:rFonts w:ascii="仿宋_GB2312" w:hAnsi="仿宋_GB2312" w:cs="仿宋_GB2312" w:eastAsia="仿宋_GB2312"/>
                      <w:sz w:val="20"/>
                    </w:rPr>
                    <w:t>1、访客管理：全电子化登记，支持身份证与手机号双识别，支持设备及手机多种方式登记，支持访客登记信息审核通过后签入签出；</w:t>
                  </w:r>
                  <w:r>
                    <w:br/>
                  </w:r>
                  <w:r>
                    <w:rPr>
                      <w:rFonts w:ascii="仿宋_GB2312" w:hAnsi="仿宋_GB2312" w:cs="仿宋_GB2312" w:eastAsia="仿宋_GB2312"/>
                      <w:sz w:val="20"/>
                    </w:rPr>
                    <w:t>2、学生请假：支持家长小程序及班主任多种方式发起，请假支持设置多层审批方式，审批状态可通过公众号进行实时推送，出入校学生可通过人脸识别进行请假信息查询及认证。</w:t>
                  </w:r>
                  <w:r>
                    <w:br/>
                  </w:r>
                  <w:r>
                    <w:rPr>
                      <w:rFonts w:ascii="仿宋_GB2312" w:hAnsi="仿宋_GB2312" w:cs="仿宋_GB2312" w:eastAsia="仿宋_GB2312"/>
                      <w:sz w:val="20"/>
                    </w:rPr>
                    <w:t>3、学生非正常出入校：对于迟到等特殊情况出入校学生，学生在校门口终端设备上通过学生卡或者学号等方式查询学生信息、保安进行信息（照片比对）核实，确认后保安刷卡学生进校。学生进校同时系统通过公众号或短信的方式同步通知学生家长。</w:t>
                  </w:r>
                  <w:r>
                    <w:br/>
                  </w:r>
                  <w:r>
                    <w:rPr>
                      <w:rFonts w:ascii="仿宋_GB2312" w:hAnsi="仿宋_GB2312" w:cs="仿宋_GB2312" w:eastAsia="仿宋_GB2312"/>
                      <w:sz w:val="20"/>
                    </w:rPr>
                    <w:t>4、校门口环境优化管理：支持通过安全分控台远程调取现场视频，并进行远程喊话，支持通过无线手柄现场喊话及播音，有效驱散异常聚集人群，确保校园周边环境的和谐与安全。</w:t>
                  </w:r>
                  <w:r>
                    <w:br/>
                  </w:r>
                  <w:r>
                    <w:rPr>
                      <w:rFonts w:ascii="仿宋_GB2312" w:hAnsi="仿宋_GB2312" w:cs="仿宋_GB2312" w:eastAsia="仿宋_GB2312"/>
                      <w:sz w:val="20"/>
                    </w:rPr>
                    <w:t>5、教师安全值周管理：可落实值周老师校园安全值周工作，帮助学校建立可控制的校园管理秩序。老师可在校园安全区域网格的智能终端上人脸认证签到，实现教师执勤记录电子归档，便于安全工作考核。</w:t>
                  </w:r>
                  <w:r>
                    <w:br/>
                  </w:r>
                  <w:r>
                    <w:rPr>
                      <w:rFonts w:ascii="仿宋_GB2312" w:hAnsi="仿宋_GB2312" w:cs="仿宋_GB2312" w:eastAsia="仿宋_GB2312"/>
                      <w:sz w:val="20"/>
                    </w:rPr>
                    <w:t>6、安全台账：保安台账、安全制度、物资台账、安全文件、报警台账等。</w:t>
                  </w:r>
                  <w:r>
                    <w:br/>
                  </w:r>
                  <w:r>
                    <w:rPr>
                      <w:rFonts w:ascii="仿宋_GB2312" w:hAnsi="仿宋_GB2312" w:cs="仿宋_GB2312" w:eastAsia="仿宋_GB2312"/>
                      <w:sz w:val="20"/>
                    </w:rPr>
                    <w:t>7、隐患排查：可通过PC端和手机小程序实现移动线上管理机制，对隐患排查治理工作进行及时有效跟踪，实现隐患排查、上报、整改、复查、记录留痕、表单存档等工作。</w:t>
                  </w:r>
                  <w:r>
                    <w:br/>
                  </w:r>
                  <w:r>
                    <w:rPr>
                      <w:rFonts w:ascii="仿宋_GB2312" w:hAnsi="仿宋_GB2312" w:cs="仿宋_GB2312" w:eastAsia="仿宋_GB2312"/>
                      <w:sz w:val="20"/>
                    </w:rPr>
                    <w:t>（二）安全预防管理</w:t>
                  </w:r>
                  <w:r>
                    <w:br/>
                  </w:r>
                  <w:r>
                    <w:rPr>
                      <w:rFonts w:ascii="仿宋_GB2312" w:hAnsi="仿宋_GB2312" w:cs="仿宋_GB2312" w:eastAsia="仿宋_GB2312"/>
                      <w:sz w:val="20"/>
                    </w:rPr>
                    <w:t>8、安全教育：可联动智能安全终端，在课间休息和学生自由活动时段循环播放校园安全、法制安全、心理安全等主题的宣传视频和音频内容。</w:t>
                  </w:r>
                  <w:r>
                    <w:br/>
                  </w:r>
                  <w:r>
                    <w:rPr>
                      <w:rFonts w:ascii="仿宋_GB2312" w:hAnsi="仿宋_GB2312" w:cs="仿宋_GB2312" w:eastAsia="仿宋_GB2312"/>
                      <w:sz w:val="20"/>
                    </w:rPr>
                    <w:t>9、安全公示：具有通知公告、风采展示、安全值周公示、网格区域负责人公示等功能。</w:t>
                  </w:r>
                  <w:r>
                    <w:br/>
                  </w:r>
                  <w:r>
                    <w:rPr>
                      <w:rFonts w:ascii="仿宋_GB2312" w:hAnsi="仿宋_GB2312" w:cs="仿宋_GB2312" w:eastAsia="仿宋_GB2312"/>
                      <w:sz w:val="20"/>
                    </w:rPr>
                    <w:t>10、危险源管理：对危险源做到等级分类、危害程度说明等关键信息，创建危险源信息后可立即同步终端公示，全校师生可在终端设备上查看。</w:t>
                  </w:r>
                  <w:r>
                    <w:br/>
                  </w:r>
                  <w:r>
                    <w:rPr>
                      <w:rFonts w:ascii="仿宋_GB2312" w:hAnsi="仿宋_GB2312" w:cs="仿宋_GB2312" w:eastAsia="仿宋_GB2312"/>
                      <w:sz w:val="20"/>
                    </w:rPr>
                    <w:t>（三）专项安全管理</w:t>
                  </w:r>
                  <w:r>
                    <w:br/>
                  </w:r>
                  <w:r>
                    <w:rPr>
                      <w:rFonts w:ascii="仿宋_GB2312" w:hAnsi="仿宋_GB2312" w:cs="仿宋_GB2312" w:eastAsia="仿宋_GB2312"/>
                      <w:sz w:val="20"/>
                    </w:rPr>
                    <w:t>11、欺凌防范</w:t>
                  </w:r>
                  <w:r>
                    <w:br/>
                  </w:r>
                  <w:r>
                    <w:rPr>
                      <w:rFonts w:ascii="仿宋_GB2312" w:hAnsi="仿宋_GB2312" w:cs="仿宋_GB2312" w:eastAsia="仿宋_GB2312"/>
                      <w:sz w:val="20"/>
                    </w:rPr>
                    <w:t>学生遇到危险或紧急状况时，可通过一键报警按键向安全系统平台报警，老师或保安通过系统平台收到学生的报警信息时，可同学生进行视频通话，了解现场情况。并通过关联的现场视频弹窗定位事发区域，通过远程喊话对现场危险行为进行制止，同时调度附近老师或保安快速到达现场，及时进行处置。起到及时发现、快速处置的作用。加强对学生的管理能力，保障学生的在校安全。</w:t>
                  </w:r>
                  <w:r>
                    <w:br/>
                  </w:r>
                  <w:r>
                    <w:rPr>
                      <w:rFonts w:ascii="仿宋_GB2312" w:hAnsi="仿宋_GB2312" w:cs="仿宋_GB2312" w:eastAsia="仿宋_GB2312"/>
                      <w:sz w:val="20"/>
                    </w:rPr>
                    <w:t>12、智能预警</w:t>
                  </w:r>
                  <w:r>
                    <w:br/>
                  </w:r>
                  <w:r>
                    <w:rPr>
                      <w:rFonts w:ascii="仿宋_GB2312" w:hAnsi="仿宋_GB2312" w:cs="仿宋_GB2312" w:eastAsia="仿宋_GB2312"/>
                      <w:sz w:val="20"/>
                    </w:rPr>
                    <w:t>支持一键报警、语音识别报警、视频分析报警、红外报警、烟感报警等报警设备接入统一管理。</w:t>
                  </w:r>
                  <w:r>
                    <w:br/>
                  </w:r>
                  <w:r>
                    <w:rPr>
                      <w:rFonts w:ascii="仿宋_GB2312" w:hAnsi="仿宋_GB2312" w:cs="仿宋_GB2312" w:eastAsia="仿宋_GB2312"/>
                      <w:sz w:val="20"/>
                    </w:rPr>
                    <w:t>13、视频对讲管理</w:t>
                  </w:r>
                  <w:r>
                    <w:br/>
                  </w:r>
                  <w:r>
                    <w:rPr>
                      <w:rFonts w:ascii="仿宋_GB2312" w:hAnsi="仿宋_GB2312" w:cs="仿宋_GB2312" w:eastAsia="仿宋_GB2312"/>
                      <w:sz w:val="20"/>
                    </w:rPr>
                    <w:t>学生寻求老师帮助时，可借助终端迅速发起呼叫，而老师则能灵活采用多种视频方式回应学生，此举极大地增强了老师响应的灵活性与及时性，确保学生能够轻松高效地获得所需的帮助。</w:t>
                  </w:r>
                  <w:r>
                    <w:br/>
                  </w:r>
                  <w:r>
                    <w:rPr>
                      <w:rFonts w:ascii="仿宋_GB2312" w:hAnsi="仿宋_GB2312" w:cs="仿宋_GB2312" w:eastAsia="仿宋_GB2312"/>
                      <w:sz w:val="20"/>
                    </w:rPr>
                    <w:t>14、视频接入：可将安全网格内的视频设备统一接入系统中。解决原有校园监控部署条块化、孤岛化的现状。实现分区轮巡、自动预警、快速定位、音视频联动、远程干预、快速处置的功能。</w:t>
                  </w:r>
                  <w:r>
                    <w:br/>
                  </w:r>
                  <w:r>
                    <w:rPr>
                      <w:rFonts w:ascii="仿宋_GB2312" w:hAnsi="仿宋_GB2312" w:cs="仿宋_GB2312" w:eastAsia="仿宋_GB2312"/>
                      <w:sz w:val="20"/>
                    </w:rPr>
                    <w:t>（四）应急事件管理</w:t>
                  </w:r>
                  <w:r>
                    <w:br/>
                  </w:r>
                  <w:r>
                    <w:rPr>
                      <w:rFonts w:ascii="仿宋_GB2312" w:hAnsi="仿宋_GB2312" w:cs="仿宋_GB2312" w:eastAsia="仿宋_GB2312"/>
                      <w:sz w:val="20"/>
                    </w:rPr>
                    <w:t>15、电子预案管理功能：实现校园安全预案电子化归档、专有人员管理。可根据不同权限分组，制定相应责任人职责内容，明确分工。根据人员权限查预案内容。</w:t>
                  </w:r>
                  <w:r>
                    <w:br/>
                  </w:r>
                  <w:r>
                    <w:rPr>
                      <w:rFonts w:ascii="仿宋_GB2312" w:hAnsi="仿宋_GB2312" w:cs="仿宋_GB2312" w:eastAsia="仿宋_GB2312"/>
                      <w:sz w:val="20"/>
                    </w:rPr>
                    <w:t>16、语音预案：发生紧急情况时，老师可在监控室或者小程序控制前端智能设备播放相应场景（如地震、火灾等）的疏散语音，或可远程通过话筒对智能终端广播喊话，提醒学生有序撤离，指挥学生安全疏散。</w:t>
                  </w:r>
                </w:p>
              </w:tc>
              <w:tc>
                <w:tcPr>
                  <w:tcW w:type="dxa" w:w="137"/>
                  <w:vMerge/>
                  <w:tcBorders>
                    <w:top w:val="none" w:color="000000" w:sz="4"/>
                    <w:left w:val="none" w:color="000000" w:sz="4"/>
                    <w:bottom w:val="single" w:color="000000" w:sz="4"/>
                    <w:right w:val="single" w:color="000000" w:sz="4"/>
                  </w:tcBorders>
                </w:tcPr>
                <w:p/>
              </w:tc>
              <w:tc>
                <w:tcPr>
                  <w:tcW w:type="dxa" w:w="137"/>
                  <w:vMerge/>
                  <w:tcBorders>
                    <w:top w:val="none" w:color="000000" w:sz="4"/>
                    <w:left w:val="none" w:color="000000" w:sz="4"/>
                    <w:bottom w:val="single" w:color="000000" w:sz="4"/>
                    <w:right w:val="single" w:color="000000" w:sz="4"/>
                  </w:tcBorders>
                </w:tcPr>
                <w:p/>
              </w:tc>
              <w:tc>
                <w:tcPr>
                  <w:tcW w:type="dxa" w:w="148"/>
                  <w:vMerge/>
                  <w:tcBorders>
                    <w:top w:val="none" w:color="000000" w:sz="4"/>
                    <w:left w:val="none" w:color="000000" w:sz="4"/>
                    <w:bottom w:val="single" w:color="000000" w:sz="4"/>
                    <w:right w:val="single" w:color="000000" w:sz="4"/>
                  </w:tcBorders>
                </w:tcPr>
                <w:p/>
              </w:tc>
            </w:tr>
            <w:tr>
              <w:tc>
                <w:tcPr>
                  <w:tcW w:type="dxa" w:w="148"/>
                  <w:vMerge/>
                  <w:tcBorders>
                    <w:top w:val="none" w:color="000000" w:sz="4"/>
                    <w:left w:val="single" w:color="000000" w:sz="4"/>
                    <w:bottom w:val="single" w:color="000000" w:sz="4"/>
                    <w:right w:val="single" w:color="000000" w:sz="4"/>
                  </w:tcBorders>
                </w:tcPr>
                <w:p/>
              </w:tc>
              <w:tc>
                <w:tcPr>
                  <w:tcW w:type="dxa" w:w="137"/>
                  <w:vMerge/>
                  <w:tcBorders>
                    <w:top w:val="none" w:color="000000" w:sz="4"/>
                    <w:left w:val="none" w:color="000000" w:sz="4"/>
                    <w:bottom w:val="single" w:color="000000" w:sz="4"/>
                    <w:right w:val="single" w:color="000000" w:sz="4"/>
                  </w:tcBorders>
                </w:tc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小程序</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1、小程序根据不同角色权限可分配对应的功能应用。</w:t>
                  </w:r>
                  <w:r>
                    <w:br/>
                  </w:r>
                  <w:r>
                    <w:rPr>
                      <w:rFonts w:ascii="仿宋_GB2312" w:hAnsi="仿宋_GB2312" w:cs="仿宋_GB2312" w:eastAsia="仿宋_GB2312"/>
                      <w:sz w:val="20"/>
                    </w:rPr>
                    <w:t>2、实时接收校园安全预警信息，查看安全报警事件的处理状态。</w:t>
                  </w:r>
                  <w:r>
                    <w:br/>
                  </w:r>
                  <w:r>
                    <w:rPr>
                      <w:rFonts w:ascii="仿宋_GB2312" w:hAnsi="仿宋_GB2312" w:cs="仿宋_GB2312" w:eastAsia="仿宋_GB2312"/>
                      <w:sz w:val="20"/>
                    </w:rPr>
                    <w:t>3、实时查看校园欺凌委员会。</w:t>
                  </w:r>
                  <w:r>
                    <w:br/>
                  </w:r>
                  <w:r>
                    <w:rPr>
                      <w:rFonts w:ascii="仿宋_GB2312" w:hAnsi="仿宋_GB2312" w:cs="仿宋_GB2312" w:eastAsia="仿宋_GB2312"/>
                      <w:sz w:val="20"/>
                    </w:rPr>
                    <w:t>4、实时查看校园日常管理数据，例如：值班签到、安全巡检、校园访客。</w:t>
                  </w:r>
                  <w:r>
                    <w:br/>
                  </w:r>
                  <w:r>
                    <w:rPr>
                      <w:rFonts w:ascii="仿宋_GB2312" w:hAnsi="仿宋_GB2312" w:cs="仿宋_GB2312" w:eastAsia="仿宋_GB2312"/>
                      <w:sz w:val="20"/>
                    </w:rPr>
                    <w:t>5、查看校园各项安全台账。</w:t>
                  </w:r>
                  <w:r>
                    <w:br/>
                  </w:r>
                  <w:r>
                    <w:rPr>
                      <w:rFonts w:ascii="仿宋_GB2312" w:hAnsi="仿宋_GB2312" w:cs="仿宋_GB2312" w:eastAsia="仿宋_GB2312"/>
                      <w:sz w:val="20"/>
                    </w:rPr>
                    <w:t>6、记录校园安全事件的处理过程及结果。</w:t>
                  </w:r>
                  <w:r>
                    <w:br/>
                  </w:r>
                  <w:r>
                    <w:rPr>
                      <w:rFonts w:ascii="仿宋_GB2312" w:hAnsi="仿宋_GB2312" w:cs="仿宋_GB2312" w:eastAsia="仿宋_GB2312"/>
                      <w:sz w:val="20"/>
                    </w:rPr>
                    <w:t>7、通过小程序发布安全工作任务、安全教育信息（图文、视频等）、安全公示、危险源提醒等。</w:t>
                  </w:r>
                  <w:r>
                    <w:br/>
                  </w:r>
                  <w:r>
                    <w:rPr>
                      <w:rFonts w:ascii="仿宋_GB2312" w:hAnsi="仿宋_GB2312" w:cs="仿宋_GB2312" w:eastAsia="仿宋_GB2312"/>
                      <w:sz w:val="20"/>
                    </w:rPr>
                    <w:t>8、可查看在校学生信息等。</w:t>
                  </w:r>
                  <w:r>
                    <w:br/>
                  </w:r>
                  <w:r>
                    <w:rPr>
                      <w:rFonts w:ascii="仿宋_GB2312" w:hAnsi="仿宋_GB2312" w:cs="仿宋_GB2312" w:eastAsia="仿宋_GB2312"/>
                      <w:sz w:val="20"/>
                    </w:rPr>
                    <w:t>9、小程序需支持隐患排除、隐患上报等功能。</w:t>
                  </w:r>
                </w:p>
              </w:tc>
              <w:tc>
                <w:tcPr>
                  <w:tcW w:type="dxa" w:w="137"/>
                  <w:vMerge/>
                  <w:tcBorders>
                    <w:top w:val="none" w:color="000000" w:sz="4"/>
                    <w:left w:val="none" w:color="000000" w:sz="4"/>
                    <w:bottom w:val="single" w:color="000000" w:sz="4"/>
                    <w:right w:val="single" w:color="000000" w:sz="4"/>
                  </w:tcBorders>
                </w:tcPr>
                <w:p/>
              </w:tc>
              <w:tc>
                <w:tcPr>
                  <w:tcW w:type="dxa" w:w="137"/>
                  <w:vMerge/>
                  <w:tcBorders>
                    <w:top w:val="none" w:color="000000" w:sz="4"/>
                    <w:left w:val="none" w:color="000000" w:sz="4"/>
                    <w:bottom w:val="single" w:color="000000" w:sz="4"/>
                    <w:right w:val="single" w:color="000000" w:sz="4"/>
                  </w:tcBorders>
                </w:tcPr>
                <w:p/>
              </w:tc>
              <w:tc>
                <w:tcPr>
                  <w:tcW w:type="dxa" w:w="148"/>
                  <w:vMerge/>
                  <w:tcBorders>
                    <w:top w:val="none" w:color="000000" w:sz="4"/>
                    <w:left w:val="none" w:color="000000" w:sz="4"/>
                    <w:bottom w:val="single" w:color="000000" w:sz="4"/>
                    <w:right w:val="single" w:color="000000" w:sz="4"/>
                  </w:tcBorders>
                </w:tcPr>
                <w:p/>
              </w:tc>
            </w:tr>
            <w:tr>
              <w:tc>
                <w:tcPr>
                  <w:tcW w:type="dxa" w:w="1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硬件设备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分级管控终端</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处理器：</w:t>
                  </w:r>
                  <w:r>
                    <w:rPr>
                      <w:rFonts w:ascii="仿宋_GB2312" w:hAnsi="仿宋_GB2312" w:cs="仿宋_GB2312" w:eastAsia="仿宋_GB2312"/>
                      <w:sz w:val="20"/>
                    </w:rPr>
                    <w:t>≥RK3288 Cortex-A17 四核 1.8 GHZ；</w:t>
                  </w:r>
                  <w:r>
                    <w:br/>
                  </w:r>
                  <w:r>
                    <w:rPr>
                      <w:rFonts w:ascii="仿宋_GB2312" w:hAnsi="仿宋_GB2312" w:cs="仿宋_GB2312" w:eastAsia="仿宋_GB2312"/>
                      <w:sz w:val="20"/>
                    </w:rPr>
                    <w:t>存储：</w:t>
                  </w:r>
                  <w:r>
                    <w:rPr>
                      <w:rFonts w:ascii="仿宋_GB2312" w:hAnsi="仿宋_GB2312" w:cs="仿宋_GB2312" w:eastAsia="仿宋_GB2312"/>
                      <w:sz w:val="20"/>
                    </w:rPr>
                    <w:t>≥2GB+8GB；</w:t>
                  </w:r>
                  <w:r>
                    <w:br/>
                  </w:r>
                  <w:r>
                    <w:rPr>
                      <w:rFonts w:ascii="仿宋_GB2312" w:hAnsi="仿宋_GB2312" w:cs="仿宋_GB2312" w:eastAsia="仿宋_GB2312"/>
                      <w:sz w:val="20"/>
                    </w:rPr>
                    <w:t>通讯：以太网</w:t>
                  </w:r>
                  <w:r>
                    <w:rPr>
                      <w:rFonts w:ascii="仿宋_GB2312" w:hAnsi="仿宋_GB2312" w:cs="仿宋_GB2312" w:eastAsia="仿宋_GB2312"/>
                      <w:sz w:val="20"/>
                    </w:rPr>
                    <w:t>RJ45接口，10M/100M自适应WIFI802.11b/g/n，4G；</w:t>
                  </w:r>
                  <w:r>
                    <w:br/>
                  </w:r>
                  <w:r>
                    <w:rPr>
                      <w:rFonts w:ascii="仿宋_GB2312" w:hAnsi="仿宋_GB2312" w:cs="仿宋_GB2312" w:eastAsia="仿宋_GB2312"/>
                      <w:sz w:val="20"/>
                    </w:rPr>
                    <w:t>★屏幕：≥15.6英寸，多点触控；</w:t>
                  </w:r>
                  <w:r>
                    <w:br/>
                  </w:r>
                  <w:r>
                    <w:rPr>
                      <w:rFonts w:ascii="仿宋_GB2312" w:hAnsi="仿宋_GB2312" w:cs="仿宋_GB2312" w:eastAsia="仿宋_GB2312"/>
                      <w:sz w:val="20"/>
                    </w:rPr>
                    <w:t>输出分辨率：最高支持</w:t>
                  </w:r>
                  <w:r>
                    <w:rPr>
                      <w:rFonts w:ascii="仿宋_GB2312" w:hAnsi="仿宋_GB2312" w:cs="仿宋_GB2312" w:eastAsia="仿宋_GB2312"/>
                      <w:sz w:val="20"/>
                    </w:rPr>
                    <w:t>1080P高清输出；</w:t>
                  </w:r>
                  <w:r>
                    <w:br/>
                  </w:r>
                  <w:r>
                    <w:rPr>
                      <w:rFonts w:ascii="仿宋_GB2312" w:hAnsi="仿宋_GB2312" w:cs="仿宋_GB2312" w:eastAsia="仿宋_GB2312"/>
                      <w:sz w:val="20"/>
                    </w:rPr>
                    <w:t>视频播放：格式：</w:t>
                  </w:r>
                  <w:r>
                    <w:rPr>
                      <w:rFonts w:ascii="仿宋_GB2312" w:hAnsi="仿宋_GB2312" w:cs="仿宋_GB2312" w:eastAsia="仿宋_GB2312"/>
                      <w:sz w:val="20"/>
                    </w:rPr>
                    <w:t>RM/RMVB，MKV，TS，AVI，VOB，MOV，WMV，MP4；</w:t>
                  </w:r>
                  <w:r>
                    <w:br/>
                  </w:r>
                  <w:r>
                    <w:rPr>
                      <w:rFonts w:ascii="仿宋_GB2312" w:hAnsi="仿宋_GB2312" w:cs="仿宋_GB2312" w:eastAsia="仿宋_GB2312"/>
                      <w:sz w:val="20"/>
                    </w:rPr>
                    <w:t>解码：</w:t>
                  </w:r>
                  <w:r>
                    <w:rPr>
                      <w:rFonts w:ascii="仿宋_GB2312" w:hAnsi="仿宋_GB2312" w:cs="仿宋_GB2312" w:eastAsia="仿宋_GB2312"/>
                      <w:sz w:val="20"/>
                    </w:rPr>
                    <w:t>H.264，VC-1，WMV-HD，MPEG1/2/4最大至1080P@30帧/秒；</w:t>
                  </w:r>
                  <w:r>
                    <w:br/>
                  </w:r>
                  <w:r>
                    <w:rPr>
                      <w:rFonts w:ascii="仿宋_GB2312" w:hAnsi="仿宋_GB2312" w:cs="仿宋_GB2312" w:eastAsia="仿宋_GB2312"/>
                      <w:sz w:val="20"/>
                    </w:rPr>
                    <w:t>音频播放：</w:t>
                  </w:r>
                  <w:r>
                    <w:rPr>
                      <w:rFonts w:ascii="仿宋_GB2312" w:hAnsi="仿宋_GB2312" w:cs="仿宋_GB2312" w:eastAsia="仿宋_GB2312"/>
                      <w:sz w:val="20"/>
                    </w:rPr>
                    <w:t>MP3，WMA，APE，Flac；</w:t>
                  </w:r>
                  <w:r>
                    <w:br/>
                  </w:r>
                  <w:r>
                    <w:rPr>
                      <w:rFonts w:ascii="仿宋_GB2312" w:hAnsi="仿宋_GB2312" w:cs="仿宋_GB2312" w:eastAsia="仿宋_GB2312"/>
                      <w:sz w:val="20"/>
                    </w:rPr>
                    <w:t>输入电压：</w:t>
                  </w:r>
                  <w:r>
                    <w:rPr>
                      <w:rFonts w:ascii="仿宋_GB2312" w:hAnsi="仿宋_GB2312" w:cs="仿宋_GB2312" w:eastAsia="仿宋_GB2312"/>
                      <w:sz w:val="20"/>
                    </w:rPr>
                    <w:t>100-240VAC/47-63Hz；</w:t>
                  </w:r>
                  <w:r>
                    <w:br/>
                  </w:r>
                  <w:r>
                    <w:rPr>
                      <w:rFonts w:ascii="仿宋_GB2312" w:hAnsi="仿宋_GB2312" w:cs="仿宋_GB2312" w:eastAsia="仿宋_GB2312"/>
                      <w:sz w:val="20"/>
                    </w:rPr>
                    <w:t>功耗：</w:t>
                  </w:r>
                  <w:r>
                    <w:rPr>
                      <w:rFonts w:ascii="仿宋_GB2312" w:hAnsi="仿宋_GB2312" w:cs="仿宋_GB2312" w:eastAsia="仿宋_GB2312"/>
                      <w:sz w:val="20"/>
                    </w:rPr>
                    <w:t>≤30W；</w:t>
                  </w:r>
                  <w:r>
                    <w:br/>
                  </w:r>
                  <w:r>
                    <w:rPr>
                      <w:rFonts w:ascii="仿宋_GB2312" w:hAnsi="仿宋_GB2312" w:cs="仿宋_GB2312" w:eastAsia="仿宋_GB2312"/>
                      <w:sz w:val="20"/>
                    </w:rPr>
                    <w:t>环境温度：</w:t>
                  </w:r>
                  <w:r>
                    <w:rPr>
                      <w:rFonts w:ascii="仿宋_GB2312" w:hAnsi="仿宋_GB2312" w:cs="仿宋_GB2312" w:eastAsia="仿宋_GB2312"/>
                      <w:sz w:val="20"/>
                    </w:rPr>
                    <w:t>-25℃to+55℃；</w:t>
                  </w:r>
                  <w:r>
                    <w:br/>
                  </w:r>
                  <w:r>
                    <w:rPr>
                      <w:rFonts w:ascii="仿宋_GB2312" w:hAnsi="仿宋_GB2312" w:cs="仿宋_GB2312" w:eastAsia="仿宋_GB2312"/>
                      <w:sz w:val="20"/>
                    </w:rPr>
                    <w:t>读写模组：</w:t>
                  </w:r>
                  <w:r>
                    <w:rPr>
                      <w:rFonts w:ascii="仿宋_GB2312" w:hAnsi="仿宋_GB2312" w:cs="仿宋_GB2312" w:eastAsia="仿宋_GB2312"/>
                      <w:sz w:val="20"/>
                    </w:rPr>
                    <w:t>IC+ID双频读卡，wiegang和Urart数据协议；</w:t>
                  </w:r>
                  <w:r>
                    <w:br/>
                  </w:r>
                  <w:r>
                    <w:rPr>
                      <w:rFonts w:ascii="仿宋_GB2312" w:hAnsi="仿宋_GB2312" w:cs="仿宋_GB2312" w:eastAsia="仿宋_GB2312"/>
                      <w:sz w:val="20"/>
                    </w:rPr>
                    <w:t>★内置一键报警功能，设备需具有报警物理按键，可及时联系到老师，并可通过安全分控台与老师进行视频通话语音干预：发生危险事件，可对前端设备进行语音干预，及时制止危险事件发生。</w:t>
                  </w:r>
                  <w:r>
                    <w:br/>
                  </w:r>
                  <w:r>
                    <w:rPr>
                      <w:rFonts w:ascii="仿宋_GB2312" w:hAnsi="仿宋_GB2312" w:cs="仿宋_GB2312" w:eastAsia="仿宋_GB2312"/>
                      <w:sz w:val="20"/>
                    </w:rPr>
                    <w:t>内置</w:t>
                  </w:r>
                  <w:r>
                    <w:rPr>
                      <w:rFonts w:ascii="仿宋_GB2312" w:hAnsi="仿宋_GB2312" w:cs="仿宋_GB2312" w:eastAsia="仿宋_GB2312"/>
                      <w:sz w:val="20"/>
                    </w:rPr>
                    <w:t>AI识别芯片：支持离线语音识别（关键词）报警。</w:t>
                  </w:r>
                  <w:r>
                    <w:br/>
                  </w:r>
                  <w:r>
                    <w:rPr>
                      <w:rFonts w:ascii="仿宋_GB2312" w:hAnsi="仿宋_GB2312" w:cs="仿宋_GB2312" w:eastAsia="仿宋_GB2312"/>
                      <w:sz w:val="20"/>
                    </w:rPr>
                    <w:t>语音疏散：发生紧急事件，可远程语音指挥学生应急疏散。</w:t>
                  </w:r>
                  <w:r>
                    <w:br/>
                  </w:r>
                  <w:r>
                    <w:rPr>
                      <w:rFonts w:ascii="仿宋_GB2312" w:hAnsi="仿宋_GB2312" w:cs="仿宋_GB2312" w:eastAsia="仿宋_GB2312"/>
                      <w:sz w:val="20"/>
                    </w:rPr>
                    <w:t>★应急管理：紧急情况下，可一键启动应急预案，包括但不限于：语音预案、视频预案。</w:t>
                  </w:r>
                  <w:r>
                    <w:br/>
                  </w:r>
                  <w:r>
                    <w:rPr>
                      <w:rFonts w:ascii="仿宋_GB2312" w:hAnsi="仿宋_GB2312" w:cs="仿宋_GB2312" w:eastAsia="仿宋_GB2312"/>
                      <w:sz w:val="20"/>
                    </w:rPr>
                    <w:t>应急功能：设备内置不小于</w:t>
                  </w:r>
                  <w:r>
                    <w:rPr>
                      <w:rFonts w:ascii="仿宋_GB2312" w:hAnsi="仿宋_GB2312" w:cs="仿宋_GB2312" w:eastAsia="仿宋_GB2312"/>
                      <w:sz w:val="20"/>
                    </w:rPr>
                    <w:t>2800mAh锂电池组，并配备应急灯，确保在断电情况下仍能正常工作并自动启动应急照明功能。即便在断电状态下，设备能持续运行不小于2小时。</w:t>
                  </w:r>
                  <w:r>
                    <w:br/>
                  </w:r>
                  <w:r>
                    <w:rPr>
                      <w:rFonts w:ascii="仿宋_GB2312" w:hAnsi="仿宋_GB2312" w:cs="仿宋_GB2312" w:eastAsia="仿宋_GB2312"/>
                      <w:sz w:val="20"/>
                    </w:rPr>
                    <w:t>人工智能：内置</w:t>
                  </w:r>
                  <w:r>
                    <w:rPr>
                      <w:rFonts w:ascii="仿宋_GB2312" w:hAnsi="仿宋_GB2312" w:cs="仿宋_GB2312" w:eastAsia="仿宋_GB2312"/>
                      <w:sz w:val="20"/>
                    </w:rPr>
                    <w:t>AI识别芯片，离线人脸识别及语音识别报警（关键词识别）。</w:t>
                  </w:r>
                  <w:r>
                    <w:br/>
                  </w:r>
                  <w:r>
                    <w:rPr>
                      <w:rFonts w:ascii="仿宋_GB2312" w:hAnsi="仿宋_GB2312" w:cs="仿宋_GB2312" w:eastAsia="仿宋_GB2312"/>
                      <w:sz w:val="20"/>
                    </w:rPr>
                    <w:t>需对接系统平台，包括但不限于统一登录、人脸数据系统平台下发、设备状态、设备管理、远程控制、一键报警、视频对讲、语音干预、校园通知、危险源展示、师生签到、保安巡检数据等。</w:t>
                  </w:r>
                  <w:r>
                    <w:br/>
                  </w:r>
                  <w:r>
                    <w:rPr>
                      <w:rFonts w:ascii="仿宋_GB2312" w:hAnsi="仿宋_GB2312" w:cs="仿宋_GB2312" w:eastAsia="仿宋_GB2312"/>
                      <w:sz w:val="20"/>
                    </w:rPr>
                    <w:t>硬件产品和软件产品需为同一品牌</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8"/>
                  <w:vMerge/>
                  <w:tcBorders>
                    <w:top w:val="none" w:color="000000" w:sz="4"/>
                    <w:left w:val="single" w:color="000000" w:sz="4"/>
                    <w:bottom w:val="single" w:color="000000" w:sz="4"/>
                    <w:right w:val="single" w:color="000000" w:sz="4"/>
                  </w:tcBorders>
                </w:tcPr>
                <w:p/>
              </w:tc>
              <w:tc>
                <w:tcPr>
                  <w:tcW w:type="dxa" w:w="137"/>
                  <w:vMerge/>
                  <w:tcBorders>
                    <w:top w:val="none" w:color="000000" w:sz="4"/>
                    <w:left w:val="none" w:color="000000" w:sz="4"/>
                    <w:bottom w:val="single" w:color="000000" w:sz="4"/>
                    <w:right w:val="single" w:color="000000" w:sz="4"/>
                  </w:tcBorders>
                </w:tc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AI语音识别终端</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关键词识别：支持</w:t>
                  </w:r>
                  <w:r>
                    <w:rPr>
                      <w:rFonts w:ascii="仿宋_GB2312" w:hAnsi="仿宋_GB2312" w:cs="仿宋_GB2312" w:eastAsia="仿宋_GB2312"/>
                      <w:sz w:val="20"/>
                    </w:rPr>
                    <w:t>:救命、报警、着火、打假等关键词识别。</w:t>
                  </w:r>
                  <w:r>
                    <w:br/>
                  </w:r>
                  <w:r>
                    <w:rPr>
                      <w:rFonts w:ascii="仿宋_GB2312" w:hAnsi="仿宋_GB2312" w:cs="仿宋_GB2312" w:eastAsia="仿宋_GB2312"/>
                      <w:sz w:val="20"/>
                    </w:rPr>
                    <w:t>识别方式：支持离线识别、支持人体感应识别双识别算法。</w:t>
                  </w:r>
                  <w:r>
                    <w:br/>
                  </w:r>
                  <w:r>
                    <w:rPr>
                      <w:rFonts w:ascii="仿宋_GB2312" w:hAnsi="仿宋_GB2312" w:cs="仿宋_GB2312" w:eastAsia="仿宋_GB2312"/>
                      <w:sz w:val="20"/>
                    </w:rPr>
                    <w:t>设备拾音覆盖范围：</w:t>
                  </w:r>
                  <w:r>
                    <w:rPr>
                      <w:rFonts w:ascii="仿宋_GB2312" w:hAnsi="仿宋_GB2312" w:cs="仿宋_GB2312" w:eastAsia="仿宋_GB2312"/>
                      <w:sz w:val="20"/>
                    </w:rPr>
                    <w:t>≥3米；</w:t>
                  </w:r>
                  <w:r>
                    <w:br/>
                  </w:r>
                  <w:r>
                    <w:rPr>
                      <w:rFonts w:ascii="仿宋_GB2312" w:hAnsi="仿宋_GB2312" w:cs="仿宋_GB2312" w:eastAsia="仿宋_GB2312"/>
                      <w:sz w:val="20"/>
                    </w:rPr>
                    <w:t>麦克</w:t>
                  </w:r>
                  <w:r>
                    <w:rPr>
                      <w:rFonts w:ascii="仿宋_GB2312" w:hAnsi="仿宋_GB2312" w:cs="仿宋_GB2312" w:eastAsia="仿宋_GB2312"/>
                      <w:sz w:val="20"/>
                    </w:rPr>
                    <w:t>风：</w:t>
                  </w:r>
                  <w:r>
                    <w:rPr>
                      <w:rFonts w:ascii="仿宋_GB2312" w:hAnsi="仿宋_GB2312" w:cs="仿宋_GB2312" w:eastAsia="仿宋_GB2312"/>
                      <w:sz w:val="20"/>
                    </w:rPr>
                    <w:t>支持双通道采集；</w:t>
                  </w:r>
                  <w:r>
                    <w:br/>
                  </w:r>
                  <w:r>
                    <w:rPr>
                      <w:rFonts w:ascii="仿宋_GB2312" w:hAnsi="仿宋_GB2312" w:cs="仿宋_GB2312" w:eastAsia="仿宋_GB2312"/>
                      <w:sz w:val="20"/>
                    </w:rPr>
                    <w:t>灵敏度：</w:t>
                  </w:r>
                  <w:r>
                    <w:rPr>
                      <w:rFonts w:ascii="仿宋_GB2312" w:hAnsi="仿宋_GB2312" w:cs="仿宋_GB2312" w:eastAsia="仿宋_GB2312"/>
                      <w:sz w:val="20"/>
                    </w:rPr>
                    <w:t>-32±3 db；</w:t>
                  </w:r>
                  <w:r>
                    <w:br/>
                  </w:r>
                  <w:r>
                    <w:rPr>
                      <w:rFonts w:ascii="仿宋_GB2312" w:hAnsi="仿宋_GB2312" w:cs="仿宋_GB2312" w:eastAsia="仿宋_GB2312"/>
                      <w:sz w:val="20"/>
                    </w:rPr>
                    <w:t>频率范围：</w:t>
                  </w:r>
                  <w:r>
                    <w:rPr>
                      <w:rFonts w:ascii="仿宋_GB2312" w:hAnsi="仿宋_GB2312" w:cs="仿宋_GB2312" w:eastAsia="仿宋_GB2312"/>
                      <w:sz w:val="20"/>
                    </w:rPr>
                    <w:t>70 Hz ～ 10 kHz；</w:t>
                  </w:r>
                  <w:r>
                    <w:br/>
                  </w:r>
                  <w:r>
                    <w:rPr>
                      <w:rFonts w:ascii="仿宋_GB2312" w:hAnsi="仿宋_GB2312" w:cs="仿宋_GB2312" w:eastAsia="仿宋_GB2312"/>
                      <w:sz w:val="20"/>
                    </w:rPr>
                    <w:t>语音响应速度</w:t>
                  </w:r>
                  <w:r>
                    <w:rPr>
                      <w:rFonts w:ascii="仿宋_GB2312" w:hAnsi="仿宋_GB2312" w:cs="仿宋_GB2312" w:eastAsia="仿宋_GB2312"/>
                      <w:sz w:val="20"/>
                    </w:rPr>
                    <w:t>≤30ms；</w:t>
                  </w:r>
                  <w:r>
                    <w:br/>
                  </w:r>
                  <w:r>
                    <w:rPr>
                      <w:rFonts w:ascii="仿宋_GB2312" w:hAnsi="仿宋_GB2312" w:cs="仿宋_GB2312" w:eastAsia="仿宋_GB2312"/>
                      <w:sz w:val="20"/>
                    </w:rPr>
                    <w:t>语音采样率：数字音频</w:t>
                  </w:r>
                  <w:r>
                    <w:rPr>
                      <w:rFonts w:ascii="仿宋_GB2312" w:hAnsi="仿宋_GB2312" w:cs="仿宋_GB2312" w:eastAsia="仿宋_GB2312"/>
                      <w:sz w:val="20"/>
                    </w:rPr>
                    <w:t>16 kHz；模拟音频48 kHz；</w:t>
                  </w:r>
                  <w:r>
                    <w:br/>
                  </w:r>
                  <w:r>
                    <w:rPr>
                      <w:rFonts w:ascii="仿宋_GB2312" w:hAnsi="仿宋_GB2312" w:cs="仿宋_GB2312" w:eastAsia="仿宋_GB2312"/>
                      <w:sz w:val="20"/>
                    </w:rPr>
                    <w:t>语音采样位：</w:t>
                  </w:r>
                  <w:r>
                    <w:rPr>
                      <w:rFonts w:ascii="仿宋_GB2312" w:hAnsi="仿宋_GB2312" w:cs="仿宋_GB2312" w:eastAsia="仿宋_GB2312"/>
                      <w:sz w:val="20"/>
                    </w:rPr>
                    <w:t>16bit；</w:t>
                  </w:r>
                  <w:r>
                    <w:br/>
                  </w:r>
                  <w:r>
                    <w:rPr>
                      <w:rFonts w:ascii="仿宋_GB2312" w:hAnsi="仿宋_GB2312" w:cs="仿宋_GB2312" w:eastAsia="仿宋_GB2312"/>
                      <w:sz w:val="20"/>
                    </w:rPr>
                    <w:t>语音编码格式：支持</w:t>
                  </w:r>
                  <w:r>
                    <w:rPr>
                      <w:rFonts w:ascii="仿宋_GB2312" w:hAnsi="仿宋_GB2312" w:cs="仿宋_GB2312" w:eastAsia="仿宋_GB2312"/>
                      <w:sz w:val="20"/>
                    </w:rPr>
                    <w:t>PCM编码；</w:t>
                  </w:r>
                  <w:r>
                    <w:br/>
                  </w:r>
                  <w:r>
                    <w:rPr>
                      <w:rFonts w:ascii="仿宋_GB2312" w:hAnsi="仿宋_GB2312" w:cs="仿宋_GB2312" w:eastAsia="仿宋_GB2312"/>
                      <w:sz w:val="20"/>
                    </w:rPr>
                    <w:t>信噪比</w:t>
                  </w:r>
                  <w:r>
                    <w:rPr>
                      <w:rFonts w:ascii="仿宋_GB2312" w:hAnsi="仿宋_GB2312" w:cs="仿宋_GB2312" w:eastAsia="仿宋_GB2312"/>
                      <w:sz w:val="20"/>
                    </w:rPr>
                    <w:t>≥65 db；</w:t>
                  </w:r>
                  <w:r>
                    <w:br/>
                  </w:r>
                  <w:r>
                    <w:rPr>
                      <w:rFonts w:ascii="仿宋_GB2312" w:hAnsi="仿宋_GB2312" w:cs="仿宋_GB2312" w:eastAsia="仿宋_GB2312"/>
                      <w:sz w:val="20"/>
                    </w:rPr>
                    <w:t>输出信号幅度</w:t>
                  </w:r>
                  <w:r>
                    <w:rPr>
                      <w:rFonts w:ascii="仿宋_GB2312" w:hAnsi="仿宋_GB2312" w:cs="仿宋_GB2312" w:eastAsia="仿宋_GB2312"/>
                      <w:sz w:val="20"/>
                    </w:rPr>
                    <w:t>≥1Vrms；</w:t>
                  </w:r>
                  <w:r>
                    <w:br/>
                  </w:r>
                  <w:r>
                    <w:rPr>
                      <w:rFonts w:ascii="仿宋_GB2312" w:hAnsi="仿宋_GB2312" w:cs="仿宋_GB2312" w:eastAsia="仿宋_GB2312"/>
                      <w:sz w:val="20"/>
                    </w:rPr>
                    <w:t>电源电压</w:t>
                  </w:r>
                  <w:r>
                    <w:rPr>
                      <w:rFonts w:ascii="仿宋_GB2312" w:hAnsi="仿宋_GB2312" w:cs="仿宋_GB2312" w:eastAsia="仿宋_GB2312"/>
                      <w:sz w:val="20"/>
                    </w:rPr>
                    <w:t>AC 85-265V 宽电压；</w:t>
                  </w:r>
                  <w:r>
                    <w:br/>
                  </w:r>
                  <w:r>
                    <w:rPr>
                      <w:rFonts w:ascii="仿宋_GB2312" w:hAnsi="仿宋_GB2312" w:cs="仿宋_GB2312" w:eastAsia="仿宋_GB2312"/>
                      <w:sz w:val="20"/>
                    </w:rPr>
                    <w:t>电源电流</w:t>
                  </w:r>
                  <w:r>
                    <w:rPr>
                      <w:rFonts w:ascii="仿宋_GB2312" w:hAnsi="仿宋_GB2312" w:cs="仿宋_GB2312" w:eastAsia="仿宋_GB2312"/>
                      <w:sz w:val="20"/>
                    </w:rPr>
                    <w:t>≤1A；</w:t>
                  </w:r>
                  <w:r>
                    <w:br/>
                  </w:r>
                  <w:r>
                    <w:rPr>
                      <w:rFonts w:ascii="仿宋_GB2312" w:hAnsi="仿宋_GB2312" w:cs="仿宋_GB2312" w:eastAsia="仿宋_GB2312"/>
                      <w:sz w:val="20"/>
                    </w:rPr>
                    <w:t>整机最大功率</w:t>
                  </w:r>
                  <w:r>
                    <w:rPr>
                      <w:rFonts w:ascii="仿宋_GB2312" w:hAnsi="仿宋_GB2312" w:cs="仿宋_GB2312" w:eastAsia="仿宋_GB2312"/>
                      <w:sz w:val="20"/>
                    </w:rPr>
                    <w:t>≤18.5W；</w:t>
                  </w:r>
                  <w:r>
                    <w:br/>
                  </w:r>
                  <w:r>
                    <w:rPr>
                      <w:rFonts w:ascii="仿宋_GB2312" w:hAnsi="仿宋_GB2312" w:cs="仿宋_GB2312" w:eastAsia="仿宋_GB2312"/>
                      <w:sz w:val="20"/>
                    </w:rPr>
                    <w:t>工作环境温度</w:t>
                  </w:r>
                  <w:r>
                    <w:rPr>
                      <w:rFonts w:ascii="仿宋_GB2312" w:hAnsi="仿宋_GB2312" w:cs="仿宋_GB2312" w:eastAsia="仿宋_GB2312"/>
                      <w:sz w:val="20"/>
                    </w:rPr>
                    <w:t>-20℃～60℃；</w:t>
                  </w:r>
                  <w:r>
                    <w:br/>
                  </w:r>
                  <w:r>
                    <w:rPr>
                      <w:rFonts w:ascii="仿宋_GB2312" w:hAnsi="仿宋_GB2312" w:cs="仿宋_GB2312" w:eastAsia="仿宋_GB2312"/>
                      <w:sz w:val="20"/>
                    </w:rPr>
                    <w:t>通过关键词识别激活报警</w:t>
                  </w:r>
                  <w:r>
                    <w:br/>
                  </w:r>
                  <w:r>
                    <w:rPr>
                      <w:rFonts w:ascii="仿宋_GB2312" w:hAnsi="仿宋_GB2312" w:cs="仿宋_GB2312" w:eastAsia="仿宋_GB2312"/>
                      <w:sz w:val="20"/>
                    </w:rPr>
                    <w:t>可根据不同关键词播放相应的警示语音，也可由后端分控设备对终端进行预制警示语音、提醒语音的主动指令播放。</w:t>
                  </w:r>
                  <w:r>
                    <w:br/>
                  </w:r>
                  <w:r>
                    <w:rPr>
                      <w:rFonts w:ascii="仿宋_GB2312" w:hAnsi="仿宋_GB2312" w:cs="仿宋_GB2312" w:eastAsia="仿宋_GB2312"/>
                      <w:sz w:val="20"/>
                    </w:rPr>
                    <w:t>声音播放：支持文字转语音、录音、音频文件等。</w:t>
                  </w:r>
                  <w:r>
                    <w:br/>
                  </w:r>
                  <w:r>
                    <w:rPr>
                      <w:rFonts w:ascii="仿宋_GB2312" w:hAnsi="仿宋_GB2312" w:cs="仿宋_GB2312" w:eastAsia="仿宋_GB2312"/>
                      <w:sz w:val="20"/>
                    </w:rPr>
                    <w:t>具有香烟报警、火灾报警功能，可联动报警长传及现场声音自定义播放。</w:t>
                  </w:r>
                  <w:r>
                    <w:br/>
                  </w:r>
                  <w:r>
                    <w:rPr>
                      <w:rFonts w:ascii="仿宋_GB2312" w:hAnsi="仿宋_GB2312" w:cs="仿宋_GB2312" w:eastAsia="仿宋_GB2312"/>
                      <w:sz w:val="20"/>
                    </w:rPr>
                    <w:t>物联接入：可接入现有物联控制设备，通过现有平台综合管理及控制。支持移动互联。</w:t>
                  </w:r>
                  <w:r>
                    <w:br/>
                  </w:r>
                  <w:r>
                    <w:rPr>
                      <w:rFonts w:ascii="仿宋_GB2312" w:hAnsi="仿宋_GB2312" w:cs="仿宋_GB2312" w:eastAsia="仿宋_GB2312"/>
                      <w:sz w:val="20"/>
                    </w:rPr>
                    <w:t>无线通讯：采用</w:t>
                  </w:r>
                  <w:r>
                    <w:rPr>
                      <w:rFonts w:ascii="仿宋_GB2312" w:hAnsi="仿宋_GB2312" w:cs="仿宋_GB2312" w:eastAsia="仿宋_GB2312"/>
                      <w:sz w:val="20"/>
                    </w:rPr>
                    <w:t>NB-IoT通讯网络，直连运营商基站</w:t>
                  </w:r>
                  <w:r>
                    <w:br/>
                  </w:r>
                  <w:r>
                    <w:rPr>
                      <w:rFonts w:ascii="仿宋_GB2312" w:hAnsi="仿宋_GB2312" w:cs="仿宋_GB2312" w:eastAsia="仿宋_GB2312"/>
                      <w:sz w:val="20"/>
                    </w:rPr>
                    <w:t>硬件产品和软件产品需为同一品牌</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8"/>
                  <w:vMerge/>
                  <w:tcBorders>
                    <w:top w:val="none" w:color="000000" w:sz="4"/>
                    <w:left w:val="single" w:color="000000" w:sz="4"/>
                    <w:bottom w:val="single" w:color="000000" w:sz="4"/>
                    <w:right w:val="single" w:color="000000" w:sz="4"/>
                  </w:tcBorders>
                </w:tcPr>
                <w:p/>
              </w:tc>
              <w:tc>
                <w:tcPr>
                  <w:tcW w:type="dxa" w:w="137"/>
                  <w:vMerge/>
                  <w:tcBorders>
                    <w:top w:val="none" w:color="000000" w:sz="4"/>
                    <w:left w:val="none" w:color="000000" w:sz="4"/>
                    <w:bottom w:val="single" w:color="000000" w:sz="4"/>
                    <w:right w:val="single" w:color="000000" w:sz="4"/>
                  </w:tcBorders>
                </w:tc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校门口管理终端</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处理器：</w:t>
                  </w:r>
                  <w:r>
                    <w:rPr>
                      <w:rFonts w:ascii="仿宋_GB2312" w:hAnsi="仿宋_GB2312" w:cs="仿宋_GB2312" w:eastAsia="仿宋_GB2312"/>
                      <w:sz w:val="20"/>
                    </w:rPr>
                    <w:t>≥RK3288 Cortex-A17 四核 1.8 GHZ；</w:t>
                  </w:r>
                  <w:r>
                    <w:br/>
                  </w:r>
                  <w:r>
                    <w:rPr>
                      <w:rFonts w:ascii="仿宋_GB2312" w:hAnsi="仿宋_GB2312" w:cs="仿宋_GB2312" w:eastAsia="仿宋_GB2312"/>
                      <w:sz w:val="20"/>
                    </w:rPr>
                    <w:t>存储：</w:t>
                  </w:r>
                  <w:r>
                    <w:rPr>
                      <w:rFonts w:ascii="仿宋_GB2312" w:hAnsi="仿宋_GB2312" w:cs="仿宋_GB2312" w:eastAsia="仿宋_GB2312"/>
                      <w:sz w:val="20"/>
                    </w:rPr>
                    <w:t>≥DDR3 2GB 64bit+NAND FLASH 8GB；</w:t>
                  </w:r>
                  <w:r>
                    <w:br/>
                  </w:r>
                  <w:r>
                    <w:rPr>
                      <w:rFonts w:ascii="仿宋_GB2312" w:hAnsi="仿宋_GB2312" w:cs="仿宋_GB2312" w:eastAsia="仿宋_GB2312"/>
                      <w:sz w:val="20"/>
                    </w:rPr>
                    <w:t>操作系统：不低于</w:t>
                  </w:r>
                  <w:r>
                    <w:rPr>
                      <w:rFonts w:ascii="仿宋_GB2312" w:hAnsi="仿宋_GB2312" w:cs="仿宋_GB2312" w:eastAsia="仿宋_GB2312"/>
                      <w:sz w:val="20"/>
                    </w:rPr>
                    <w:t>Android 7.1；</w:t>
                  </w:r>
                  <w:r>
                    <w:br/>
                  </w:r>
                  <w:r>
                    <w:rPr>
                      <w:rFonts w:ascii="仿宋_GB2312" w:hAnsi="仿宋_GB2312" w:cs="仿宋_GB2312" w:eastAsia="仿宋_GB2312"/>
                      <w:sz w:val="20"/>
                    </w:rPr>
                    <w:t>通讯：以太网</w:t>
                  </w:r>
                  <w:r>
                    <w:rPr>
                      <w:rFonts w:ascii="仿宋_GB2312" w:hAnsi="仿宋_GB2312" w:cs="仿宋_GB2312" w:eastAsia="仿宋_GB2312"/>
                      <w:sz w:val="20"/>
                    </w:rPr>
                    <w:t>RJ45 接口，10M/100M 自适应 WIFI802.11b/g/n，4G；</w:t>
                  </w:r>
                  <w:r>
                    <w:br/>
                  </w:r>
                  <w:r>
                    <w:rPr>
                      <w:rFonts w:ascii="仿宋_GB2312" w:hAnsi="仿宋_GB2312" w:cs="仿宋_GB2312" w:eastAsia="仿宋_GB2312"/>
                      <w:sz w:val="20"/>
                    </w:rPr>
                    <w:t>屏幕：</w:t>
                  </w:r>
                  <w:r>
                    <w:rPr>
                      <w:rFonts w:ascii="仿宋_GB2312" w:hAnsi="仿宋_GB2312" w:cs="仿宋_GB2312" w:eastAsia="仿宋_GB2312"/>
                      <w:sz w:val="20"/>
                    </w:rPr>
                    <w:t>≥15.6 英寸 不低于 10 点触控；</w:t>
                  </w:r>
                  <w:r>
                    <w:br/>
                  </w:r>
                  <w:r>
                    <w:rPr>
                      <w:rFonts w:ascii="仿宋_GB2312" w:hAnsi="仿宋_GB2312" w:cs="仿宋_GB2312" w:eastAsia="仿宋_GB2312"/>
                      <w:sz w:val="20"/>
                    </w:rPr>
                    <w:t>输出分辨率：最高支持</w:t>
                  </w:r>
                  <w:r>
                    <w:rPr>
                      <w:rFonts w:ascii="仿宋_GB2312" w:hAnsi="仿宋_GB2312" w:cs="仿宋_GB2312" w:eastAsia="仿宋_GB2312"/>
                      <w:sz w:val="20"/>
                    </w:rPr>
                    <w:t>1080P 高清输出；</w:t>
                  </w:r>
                  <w:r>
                    <w:br/>
                  </w:r>
                  <w:r>
                    <w:rPr>
                      <w:rFonts w:ascii="仿宋_GB2312" w:hAnsi="仿宋_GB2312" w:cs="仿宋_GB2312" w:eastAsia="仿宋_GB2312"/>
                      <w:sz w:val="20"/>
                    </w:rPr>
                    <w:t>音频播放：</w:t>
                  </w:r>
                  <w:r>
                    <w:rPr>
                      <w:rFonts w:ascii="仿宋_GB2312" w:hAnsi="仿宋_GB2312" w:cs="仿宋_GB2312" w:eastAsia="仿宋_GB2312"/>
                      <w:sz w:val="20"/>
                    </w:rPr>
                    <w:t>MP3，WMA，APE，Flac 输入电压：100-240VAC/47-63Hz ；</w:t>
                  </w:r>
                  <w:r>
                    <w:br/>
                  </w:r>
                  <w:r>
                    <w:rPr>
                      <w:rFonts w:ascii="仿宋_GB2312" w:hAnsi="仿宋_GB2312" w:cs="仿宋_GB2312" w:eastAsia="仿宋_GB2312"/>
                      <w:sz w:val="20"/>
                    </w:rPr>
                    <w:t>读写模组：</w:t>
                  </w:r>
                  <w:r>
                    <w:rPr>
                      <w:rFonts w:ascii="仿宋_GB2312" w:hAnsi="仿宋_GB2312" w:cs="仿宋_GB2312" w:eastAsia="仿宋_GB2312"/>
                      <w:sz w:val="20"/>
                    </w:rPr>
                    <w:t>IC+ID 双频读卡，支持身份证识别；</w:t>
                  </w:r>
                  <w:r>
                    <w:br/>
                  </w:r>
                  <w:r>
                    <w:rPr>
                      <w:rFonts w:ascii="仿宋_GB2312" w:hAnsi="仿宋_GB2312" w:cs="仿宋_GB2312" w:eastAsia="仿宋_GB2312"/>
                      <w:sz w:val="20"/>
                    </w:rPr>
                    <w:t>摄像头：</w:t>
                  </w:r>
                  <w:r>
                    <w:rPr>
                      <w:rFonts w:ascii="仿宋_GB2312" w:hAnsi="仿宋_GB2312" w:cs="仿宋_GB2312" w:eastAsia="仿宋_GB2312"/>
                      <w:sz w:val="20"/>
                    </w:rPr>
                    <w:t>≥ 720P；</w:t>
                  </w:r>
                  <w:r>
                    <w:br/>
                  </w:r>
                  <w:r>
                    <w:rPr>
                      <w:rFonts w:ascii="仿宋_GB2312" w:hAnsi="仿宋_GB2312" w:cs="仿宋_GB2312" w:eastAsia="仿宋_GB2312"/>
                      <w:sz w:val="20"/>
                    </w:rPr>
                    <w:t>内置</w:t>
                  </w:r>
                  <w:r>
                    <w:rPr>
                      <w:rFonts w:ascii="仿宋_GB2312" w:hAnsi="仿宋_GB2312" w:cs="仿宋_GB2312" w:eastAsia="仿宋_GB2312"/>
                      <w:sz w:val="20"/>
                    </w:rPr>
                    <w:t>≥2800mAh 锂电池组，断电情况下仍可正常工作不低于2小时；</w:t>
                  </w:r>
                  <w:r>
                    <w:br/>
                  </w:r>
                  <w:r>
                    <w:rPr>
                      <w:rFonts w:ascii="仿宋_GB2312" w:hAnsi="仿宋_GB2312" w:cs="仿宋_GB2312" w:eastAsia="仿宋_GB2312"/>
                      <w:sz w:val="20"/>
                    </w:rPr>
                    <w:t>功能参数：</w:t>
                  </w:r>
                  <w:r>
                    <w:br/>
                  </w:r>
                  <w:r>
                    <w:rPr>
                      <w:rFonts w:ascii="仿宋_GB2312" w:hAnsi="仿宋_GB2312" w:cs="仿宋_GB2312" w:eastAsia="仿宋_GB2312"/>
                      <w:sz w:val="20"/>
                    </w:rPr>
                    <w:t>校门口秩序维护优化：保安人员借助手持终端设备，实现即时本地语音介入与一键广播功能，有效管理现场秩序。</w:t>
                  </w:r>
                  <w:r>
                    <w:br/>
                  </w:r>
                  <w:r>
                    <w:rPr>
                      <w:rFonts w:ascii="仿宋_GB2312" w:hAnsi="仿宋_GB2312" w:cs="仿宋_GB2312" w:eastAsia="仿宋_GB2312"/>
                      <w:sz w:val="20"/>
                    </w:rPr>
                    <w:t>访客登记：登记方式需支持离线身份证识别、二维码登记、短信验证、信息审核等</w:t>
                  </w:r>
                  <w:r>
                    <w:br/>
                  </w:r>
                  <w:r>
                    <w:rPr>
                      <w:rFonts w:ascii="仿宋_GB2312" w:hAnsi="仿宋_GB2312" w:cs="仿宋_GB2312" w:eastAsia="仿宋_GB2312"/>
                      <w:sz w:val="20"/>
                    </w:rPr>
                    <w:t>学生非正常出入校管理：采用人脸识别、校园卡验证及手动查询等多种方式，严格进行学生身份确认，并在后台系统即时生成详尽记录。</w:t>
                  </w:r>
                  <w:r>
                    <w:br/>
                  </w:r>
                  <w:r>
                    <w:rPr>
                      <w:rFonts w:ascii="仿宋_GB2312" w:hAnsi="仿宋_GB2312" w:cs="仿宋_GB2312" w:eastAsia="仿宋_GB2312"/>
                      <w:sz w:val="20"/>
                    </w:rPr>
                    <w:t>护学岗签到：可通过手机扫描设备上的二维码进行一键签到，签到记录在后台归档；</w:t>
                  </w:r>
                  <w:r>
                    <w:br/>
                  </w:r>
                  <w:r>
                    <w:rPr>
                      <w:rFonts w:ascii="仿宋_GB2312" w:hAnsi="仿宋_GB2312" w:cs="仿宋_GB2312" w:eastAsia="仿宋_GB2312"/>
                      <w:sz w:val="20"/>
                    </w:rPr>
                    <w:t>远程信息发布系统：管理人员可借助计算机，向目标设备发布包括文字、图片、视频在内的多样化信息内容。</w:t>
                  </w:r>
                  <w:r>
                    <w:br/>
                  </w:r>
                  <w:r>
                    <w:rPr>
                      <w:rFonts w:ascii="仿宋_GB2312" w:hAnsi="仿宋_GB2312" w:cs="仿宋_GB2312" w:eastAsia="仿宋_GB2312"/>
                      <w:sz w:val="20"/>
                    </w:rPr>
                    <w:t>硬件产品和软件产品需为同一品牌</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8"/>
                  <w:vMerge/>
                  <w:tcBorders>
                    <w:top w:val="none" w:color="000000" w:sz="4"/>
                    <w:left w:val="single" w:color="000000" w:sz="4"/>
                    <w:bottom w:val="single" w:color="000000" w:sz="4"/>
                    <w:right w:val="single" w:color="000000" w:sz="4"/>
                  </w:tcBorders>
                </w:tcPr>
                <w:p/>
              </w:tc>
              <w:tc>
                <w:tcPr>
                  <w:tcW w:type="dxa" w:w="137"/>
                  <w:vMerge/>
                  <w:tcBorders>
                    <w:top w:val="none" w:color="000000" w:sz="4"/>
                    <w:left w:val="none" w:color="000000" w:sz="4"/>
                    <w:bottom w:val="single" w:color="000000" w:sz="4"/>
                    <w:right w:val="single" w:color="000000" w:sz="4"/>
                  </w:tcBorders>
                </w:tc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分控台</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处理器</w:t>
                  </w:r>
                  <w:r>
                    <w:rPr>
                      <w:rFonts w:ascii="仿宋_GB2312" w:hAnsi="仿宋_GB2312" w:cs="仿宋_GB2312" w:eastAsia="仿宋_GB2312"/>
                      <w:sz w:val="20"/>
                    </w:rPr>
                    <w:t>: ≥6核心 ；</w:t>
                  </w:r>
                  <w:r>
                    <w:br/>
                  </w:r>
                  <w:r>
                    <w:rPr>
                      <w:rFonts w:ascii="仿宋_GB2312" w:hAnsi="仿宋_GB2312" w:cs="仿宋_GB2312" w:eastAsia="仿宋_GB2312"/>
                      <w:sz w:val="20"/>
                    </w:rPr>
                    <w:t>内存</w:t>
                  </w:r>
                  <w:r>
                    <w:rPr>
                      <w:rFonts w:ascii="仿宋_GB2312" w:hAnsi="仿宋_GB2312" w:cs="仿宋_GB2312" w:eastAsia="仿宋_GB2312"/>
                      <w:sz w:val="20"/>
                    </w:rPr>
                    <w:t>:≥8 GB；</w:t>
                  </w:r>
                  <w:r>
                    <w:br/>
                  </w:r>
                  <w:r>
                    <w:rPr>
                      <w:rFonts w:ascii="仿宋_GB2312" w:hAnsi="仿宋_GB2312" w:cs="仿宋_GB2312" w:eastAsia="仿宋_GB2312"/>
                      <w:sz w:val="20"/>
                    </w:rPr>
                    <w:t>存储</w:t>
                  </w:r>
                  <w:r>
                    <w:rPr>
                      <w:rFonts w:ascii="仿宋_GB2312" w:hAnsi="仿宋_GB2312" w:cs="仿宋_GB2312" w:eastAsia="仿宋_GB2312"/>
                      <w:sz w:val="20"/>
                    </w:rPr>
                    <w:t>:≥12 GB；</w:t>
                  </w:r>
                  <w:r>
                    <w:br/>
                  </w:r>
                  <w:r>
                    <w:rPr>
                      <w:rFonts w:ascii="仿宋_GB2312" w:hAnsi="仿宋_GB2312" w:cs="仿宋_GB2312" w:eastAsia="仿宋_GB2312"/>
                      <w:sz w:val="20"/>
                    </w:rPr>
                    <w:t>显示屏</w:t>
                  </w:r>
                  <w:r>
                    <w:rPr>
                      <w:rFonts w:ascii="仿宋_GB2312" w:hAnsi="仿宋_GB2312" w:cs="仿宋_GB2312" w:eastAsia="仿宋_GB2312"/>
                      <w:sz w:val="20"/>
                    </w:rPr>
                    <w:t>:≥23.8 英寸 ；</w:t>
                  </w:r>
                  <w:r>
                    <w:br/>
                  </w:r>
                  <w:r>
                    <w:rPr>
                      <w:rFonts w:ascii="仿宋_GB2312" w:hAnsi="仿宋_GB2312" w:cs="仿宋_GB2312" w:eastAsia="仿宋_GB2312"/>
                      <w:sz w:val="20"/>
                    </w:rPr>
                    <w:t>投射式电容触摸，</w:t>
                  </w:r>
                  <w:r>
                    <w:rPr>
                      <w:rFonts w:ascii="仿宋_GB2312" w:hAnsi="仿宋_GB2312" w:cs="仿宋_GB2312" w:eastAsia="仿宋_GB2312"/>
                      <w:sz w:val="20"/>
                    </w:rPr>
                    <w:t>10点触摸，响应速度＜8MS；</w:t>
                  </w:r>
                  <w:r>
                    <w:br/>
                  </w:r>
                  <w:r>
                    <w:rPr>
                      <w:rFonts w:ascii="仿宋_GB2312" w:hAnsi="仿宋_GB2312" w:cs="仿宋_GB2312" w:eastAsia="仿宋_GB2312"/>
                      <w:sz w:val="20"/>
                    </w:rPr>
                    <w:t>摄像头：</w:t>
                  </w:r>
                  <w:r>
                    <w:rPr>
                      <w:rFonts w:ascii="仿宋_GB2312" w:hAnsi="仿宋_GB2312" w:cs="仿宋_GB2312" w:eastAsia="仿宋_GB2312"/>
                      <w:sz w:val="20"/>
                    </w:rPr>
                    <w:t>≥100 万像素；</w:t>
                  </w:r>
                  <w:r>
                    <w:br/>
                  </w:r>
                  <w:r>
                    <w:rPr>
                      <w:rFonts w:ascii="仿宋_GB2312" w:hAnsi="仿宋_GB2312" w:cs="仿宋_GB2312" w:eastAsia="仿宋_GB2312"/>
                      <w:sz w:val="20"/>
                    </w:rPr>
                    <w:t>内置麦克风、内置音响</w:t>
                  </w:r>
                  <w:r>
                    <w:br/>
                  </w:r>
                  <w:r>
                    <w:rPr>
                      <w:rFonts w:ascii="仿宋_GB2312" w:hAnsi="仿宋_GB2312" w:cs="仿宋_GB2312" w:eastAsia="仿宋_GB2312"/>
                      <w:sz w:val="20"/>
                    </w:rPr>
                    <w:t>4*USB3.1Gen1/1*USBTyp e-CGen2/1*USB3.1Gen2 标配内置 802.11AC 双频无线网卡带蓝牙 4.2；</w:t>
                  </w:r>
                  <w:r>
                    <w:br/>
                  </w:r>
                  <w:r>
                    <w:rPr>
                      <w:rFonts w:ascii="仿宋_GB2312" w:hAnsi="仿宋_GB2312" w:cs="仿宋_GB2312" w:eastAsia="仿宋_GB2312"/>
                      <w:sz w:val="20"/>
                    </w:rPr>
                    <w:t>工作站内置校园安全分控管理系统软件支持监控画面自定义轮巡、远程语音干预（前端设备：教室管控终端、安全智能终端、</w:t>
                  </w:r>
                  <w:r>
                    <w:rPr>
                      <w:rFonts w:ascii="仿宋_GB2312" w:hAnsi="仿宋_GB2312" w:cs="仿宋_GB2312" w:eastAsia="仿宋_GB2312"/>
                      <w:sz w:val="20"/>
                    </w:rPr>
                    <w:t>AI语音识别终端、校门口管理终端）、报警接收、视频对讲、报警显示、对前端设备指令播放安全警示音频及安全提醒音频等功能。</w:t>
                  </w:r>
                  <w:r>
                    <w:br/>
                  </w:r>
                  <w:r>
                    <w:rPr>
                      <w:rFonts w:ascii="仿宋_GB2312" w:hAnsi="仿宋_GB2312" w:cs="仿宋_GB2312" w:eastAsia="仿宋_GB2312"/>
                      <w:sz w:val="22"/>
                    </w:rPr>
                    <w:t>硬件产品和软件产品需为同一品牌</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自合同签订生效之日起30日内完成供货、安装、调试、验收。</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所有货物交货完成，验收合格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采购人单位按照国家（行业）强制性标准及合同约定对成交供应商所提供的货物（产品）或服务进行检查或验收，成交供应商须无条件地接受采购人的各类检查或验收；若验收不通过或质量不合格，成交供应商应在一定期限进行整改完善，以采购人要求的标准提供合格的货物（产品）或服务；若成交供应商在接受检查整改后，仍不能提供符合采购要求的合格货物（产品）或服务，采购人有权按违约予以撤项，具体按合同相关条款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运输要求：采用公路或铁路运输方式，选择风险小、运费低和运距短的运输路线。运杂费一次性包死在总价内，采购人不再额外支付，包括从生产厂家到使用（安装）现场的包装、装载、运输、卸载、现场保管、二次倒运等费用。 （2）包装要求：①全部货物（产品）均应按照国家、行业规定的标准和保护措施进行包装，该包装应适应于远距离运输、防潮、防震、防锈和防野蛮装卸，以确保货物安全运抵指定地点；②当包装使用塑料、纸质、木材等包装材料时，除应当按照国家、行业规定的包装标准进行包装外，还需按照《商品包装政府采购需求标准（试行）》（财办库〔2020〕）123号）规定的环保要求进行包装；③当采用快递交货方式时，快递包装除应当按照国家、行业规定的包装标准进行包装外，还需按照《快递包装政府采购需求标准（试行）》（财办库〔2020〕）123号）规定的环保要求进行包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质保期：对项目所涉及的所有硬件设施设备和软件等提供自验收合格之日起一年质保服务。</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供应商的报价是供应商响应采购项目要求的全部工作内容的价格体现，包括供应商完成本项目所需的直接费、间接费、利润、税金及其他相关的一切费用，包括但不限于：产品费、附件费、工具费、验收费、运输费、保险费、安装费、调试费、技术服务费（含售后）、服务平台构建过程中的全部硬件设备支出与附加服务费用、招标代理费、税金、利润及不可预见费等费用；谈判总价中不得包含采购文件要求以外的内容，否则，在评标时不予核减。在供货、安装、调试、培训等工作中出现硬件、软件等的任何遗漏，均由中标人免费提供，采购人将不再支付任何费用。 二、谈判有效期 1.出现特殊情况需要延长谈判有效期的，采购代理机构或采购人可于谈判有效期满之前，以书面形式通知所有供应商延长谈判有效期。供应商应予书面答复，同意延长的，但不得要求或被允许修改其响应文件；供应商拒绝延长的，其响应文件失效。 2.在谈判有效期内，供应商撤销响应文件的，应承担响应文件和法律规定的责任。 3.成交人的谈判有效期自动延长至合同终止为止。 三、分公司独立参与谈判时，不能使用总公司的资质或业绩；总公司单独参与谈判时，除总公司所投产品为分公司生产的产品外，不能使用分公司的资质或业绩。总公司授权分公司或分支机构参与谈判，可以使用总公司的资质或业绩。 四、采购文件中签名是指：手写签名或加盖签名章（含电子），盖章是指加盖单位章（含电子）。 五、恶意质疑、投诉的法律后果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1）《中华人民共和国刑法》第243条【诬告陷害罪】捏造事实诬告陷害他人，意图使他人受到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六、参与本项目采购的供应商应通过陕西省政府采购综合管理平台的项目电子化交易系统在线实施响应、谈判、报价等操作，谈判响应时无需供应商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雁塔区雁翔路111号赛格·中京坊6幢1单元2层10201室招标一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供应商需在项目电子化交易系统中按要求填写《响应函》完成承诺并进行电子签章,并按谈判文件中的附件“资格证明部分”格式要求提供相关证明资料。注： 本项目资格审查小组，由1名采购人代表和2名采购代理机构工作人员组成，采购代理机构项目经理担任资格审查小组组长。</w:t>
            </w:r>
          </w:p>
        </w:tc>
        <w:tc>
          <w:tcPr>
            <w:tcW w:type="dxa" w:w="1661"/>
          </w:tcPr>
          <w:p>
            <w:pPr>
              <w:pStyle w:val="null3"/>
            </w:pPr>
            <w:r>
              <w:rPr>
                <w:rFonts w:ascii="仿宋_GB2312" w:hAnsi="仿宋_GB2312" w:cs="仿宋_GB2312" w:eastAsia="仿宋_GB2312"/>
              </w:rPr>
              <w:t>资格证明部分.docx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供应商的营业执照等证明文件，自然人的身份证明</w:t>
            </w:r>
          </w:p>
        </w:tc>
        <w:tc>
          <w:tcPr>
            <w:tcW w:type="dxa" w:w="3322"/>
          </w:tcPr>
          <w:p>
            <w:pPr>
              <w:pStyle w:val="null3"/>
            </w:pPr>
            <w:r>
              <w:rPr>
                <w:rFonts w:ascii="仿宋_GB2312" w:hAnsi="仿宋_GB2312" w:cs="仿宋_GB2312" w:eastAsia="仿宋_GB2312"/>
              </w:rPr>
              <w:t>提供原件的扫描件或电子证照，供应商需在项目电子化交易系统中按采购文件中的附件“资格证明文件”格式要求上传相关证明资料并进行电子签章。</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2024年度经审计的供应商财务会计报告或其提交响应文件截止时间前3个月银行出具的资信证明；供应商需在项目电子化交易系统中按采购文件中的附件“资格证明部分”格式要求上传相关证明资料并进行电子签章。</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自提交响应文件截止时间前1年内已缴纳任意时段完税（任意税种，个人所得税除外）凭证（复印件）或税务机关开具的完税证明；供应商需在项目电子化交易系统中按采购文件中的附件“资格证明文件”格式要求上传相关证明资料并进行电子签章。</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自响应截止时间前1年内已缴存的任意时段的社会保障资金缴存单据或社保机构开具的社会保险参保缴费情况证明；供应商需在项目电子化交易系统中按采购文件中的附件“资格证明文件”格式要求上传相关证明资料并进行电子签章。</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提供具备履行合同所必需的设备和专业技术能力的证明材料，供应商需在项目电子化交易系统中按采购文件中的附件“资格证明文件”格式要求上传相关证明资料并进行电子签章。</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资格证明部分.docx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响应文件的签署、盖章及格式</w:t>
            </w:r>
          </w:p>
        </w:tc>
        <w:tc>
          <w:tcPr>
            <w:tcW w:type="dxa" w:w="3322"/>
          </w:tcPr>
          <w:p>
            <w:pPr>
              <w:pStyle w:val="null3"/>
            </w:pPr>
            <w:r>
              <w:rPr>
                <w:rFonts w:ascii="仿宋_GB2312" w:hAnsi="仿宋_GB2312" w:cs="仿宋_GB2312" w:eastAsia="仿宋_GB2312"/>
              </w:rPr>
              <w:t>符合采购文件中有关“响应文件格式”及签署、盖章要求 （注：不得因文件排序、页码、名称统一、序号等非实质性的格式、形式问题及个别遗漏或瑕疵的签署或盖章问题而限制和影响供应商投标）</w:t>
            </w:r>
          </w:p>
        </w:tc>
        <w:tc>
          <w:tcPr>
            <w:tcW w:type="dxa" w:w="1661"/>
          </w:tcPr>
          <w:p>
            <w:pPr>
              <w:pStyle w:val="null3"/>
            </w:pPr>
            <w:r>
              <w:rPr>
                <w:rFonts w:ascii="仿宋_GB2312" w:hAnsi="仿宋_GB2312" w:cs="仿宋_GB2312" w:eastAsia="仿宋_GB2312"/>
              </w:rPr>
              <w:t>响应文件封面 资格证明部分.docx 中小企业声明函 残疾人福利性单位声明函 商务、技术部分.docx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只能有一个有效报价，不得提交选择性报价，且报价不超过采购文件中规定的采购预算金额或最高限价</w:t>
            </w:r>
          </w:p>
        </w:tc>
        <w:tc>
          <w:tcPr>
            <w:tcW w:type="dxa" w:w="1661"/>
          </w:tcPr>
          <w:p>
            <w:pPr>
              <w:pStyle w:val="null3"/>
            </w:pPr>
            <w:r>
              <w:rPr>
                <w:rFonts w:ascii="仿宋_GB2312" w:hAnsi="仿宋_GB2312" w:cs="仿宋_GB2312" w:eastAsia="仿宋_GB2312"/>
              </w:rPr>
              <w:t>商务、技术部分.docx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（2）不同供应商委托同一单位或者个人办理投标事宜； （3）不同供应商的响应文件载明的项目管理成员或者联系人员为同一人； （4）不同供应商的响应文件异常一致或者响应报价呈规律性差异。</w:t>
            </w:r>
          </w:p>
        </w:tc>
        <w:tc>
          <w:tcPr>
            <w:tcW w:type="dxa" w:w="1661"/>
          </w:tcPr>
          <w:p>
            <w:pPr>
              <w:pStyle w:val="null3"/>
            </w:pPr>
            <w:r>
              <w:rPr>
                <w:rFonts w:ascii="仿宋_GB2312" w:hAnsi="仿宋_GB2312" w:cs="仿宋_GB2312" w:eastAsia="仿宋_GB2312"/>
              </w:rPr>
              <w:t>商务、技术部分.docx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对采购文件的响应程度</w:t>
            </w:r>
          </w:p>
        </w:tc>
        <w:tc>
          <w:tcPr>
            <w:tcW w:type="dxa" w:w="3322"/>
          </w:tcPr>
          <w:p>
            <w:pPr>
              <w:pStyle w:val="null3"/>
            </w:pPr>
            <w:r>
              <w:rPr>
                <w:rFonts w:ascii="仿宋_GB2312" w:hAnsi="仿宋_GB2312" w:cs="仿宋_GB2312" w:eastAsia="仿宋_GB2312"/>
              </w:rPr>
              <w:t>符合采购文件中实质性条款（★号条款）的要求，且未含有采购人不能接受的附加条件</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标的数量及主要要求</w:t>
            </w:r>
          </w:p>
        </w:tc>
        <w:tc>
          <w:tcPr>
            <w:tcW w:type="dxa" w:w="3322"/>
          </w:tcPr>
          <w:p>
            <w:pPr>
              <w:pStyle w:val="null3"/>
            </w:pPr>
            <w:r>
              <w:rPr>
                <w:rFonts w:ascii="仿宋_GB2312" w:hAnsi="仿宋_GB2312" w:cs="仿宋_GB2312" w:eastAsia="仿宋_GB2312"/>
              </w:rPr>
              <w:t>满足采购文件中规定数量及主要要求</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支付条件、违约责任及解决争议</w:t>
            </w:r>
          </w:p>
        </w:tc>
        <w:tc>
          <w:tcPr>
            <w:tcW w:type="dxa" w:w="3322"/>
          </w:tcPr>
          <w:p>
            <w:pPr>
              <w:pStyle w:val="null3"/>
            </w:pPr>
            <w:r>
              <w:rPr>
                <w:rFonts w:ascii="仿宋_GB2312" w:hAnsi="仿宋_GB2312" w:cs="仿宋_GB2312" w:eastAsia="仿宋_GB2312"/>
              </w:rPr>
              <w:t>符合拟订采购合同文本中的相关约定</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符合采购文件中规定的要求</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符合采购文件中规定的有效期限</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详见附件：资格证明部分.docx</w:t>
      </w:r>
    </w:p>
    <w:p>
      <w:pPr>
        <w:pStyle w:val="null3"/>
        <w:ind w:firstLine="960"/>
      </w:pPr>
      <w:r>
        <w:rPr>
          <w:rFonts w:ascii="仿宋_GB2312" w:hAnsi="仿宋_GB2312" w:cs="仿宋_GB2312" w:eastAsia="仿宋_GB2312"/>
        </w:rPr>
        <w:t>详见附件：商务、技术部分.docx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