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D52A8C">
      <w:pPr>
        <w:jc w:val="center"/>
        <w:rPr>
          <w:color w:val="000000" w:themeColor="text1"/>
          <w:highlight w:val="none"/>
          <w14:textFill>
            <w14:solidFill>
              <w14:schemeClr w14:val="tx1"/>
            </w14:solidFill>
          </w14:textFill>
        </w:rPr>
      </w:pPr>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4C2C89A1">
      <w:pPr>
        <w:pStyle w:val="2"/>
        <w:spacing w:line="360" w:lineRule="auto"/>
        <w:ind w:firstLine="880"/>
        <w:jc w:val="center"/>
        <w:rPr>
          <w:rFonts w:ascii="黑体" w:eastAsia="黑体"/>
          <w:color w:val="000000" w:themeColor="text1"/>
          <w:sz w:val="44"/>
          <w:szCs w:val="44"/>
          <w:highlight w:val="none"/>
          <w14:textFill>
            <w14:solidFill>
              <w14:schemeClr w14:val="tx1"/>
            </w14:solidFill>
          </w14:textFill>
        </w:rPr>
      </w:pPr>
    </w:p>
    <w:p w14:paraId="2D4F5ED8">
      <w:pPr>
        <w:rPr>
          <w:rFonts w:ascii="黑体" w:eastAsia="黑体"/>
          <w:color w:val="000000" w:themeColor="text1"/>
          <w:sz w:val="44"/>
          <w:szCs w:val="44"/>
          <w:highlight w:val="none"/>
          <w14:textFill>
            <w14:solidFill>
              <w14:schemeClr w14:val="tx1"/>
            </w14:solidFill>
          </w14:textFill>
        </w:rPr>
      </w:pPr>
    </w:p>
    <w:p w14:paraId="27D77559">
      <w:pPr>
        <w:rPr>
          <w:rFonts w:ascii="黑体" w:eastAsia="黑体"/>
          <w:color w:val="000000" w:themeColor="text1"/>
          <w:sz w:val="44"/>
          <w:szCs w:val="44"/>
          <w:highlight w:val="none"/>
          <w14:textFill>
            <w14:solidFill>
              <w14:schemeClr w14:val="tx1"/>
            </w14:solidFill>
          </w14:textFill>
        </w:rPr>
      </w:pPr>
    </w:p>
    <w:p w14:paraId="0900D5BF">
      <w:pPr>
        <w:rPr>
          <w:rFonts w:hint="eastAsia" w:ascii="仿宋" w:hAnsi="仿宋" w:eastAsia="仿宋" w:cs="仿宋"/>
          <w:color w:val="000000" w:themeColor="text1"/>
          <w:sz w:val="44"/>
          <w:szCs w:val="44"/>
          <w:highlight w:val="none"/>
          <w14:textFill>
            <w14:solidFill>
              <w14:schemeClr w14:val="tx1"/>
            </w14:solidFill>
          </w14:textFill>
        </w:rPr>
      </w:pPr>
    </w:p>
    <w:p w14:paraId="04D08014">
      <w:pPr>
        <w:pStyle w:val="3"/>
        <w:rPr>
          <w:rFonts w:hint="eastAsia" w:ascii="仿宋" w:hAnsi="仿宋" w:eastAsia="仿宋" w:cs="仿宋"/>
          <w:color w:val="000000" w:themeColor="text1"/>
          <w:highlight w:val="none"/>
          <w14:textFill>
            <w14:solidFill>
              <w14:schemeClr w14:val="tx1"/>
            </w14:solidFill>
          </w14:textFill>
        </w:rPr>
      </w:pPr>
    </w:p>
    <w:p w14:paraId="03CF5EE4">
      <w:pPr>
        <w:pStyle w:val="2"/>
        <w:spacing w:line="360" w:lineRule="auto"/>
        <w:ind w:firstLine="880"/>
        <w:jc w:val="center"/>
        <w:rPr>
          <w:rFonts w:hint="eastAsia" w:ascii="仿宋" w:hAnsi="仿宋" w:eastAsia="仿宋" w:cs="仿宋"/>
          <w:color w:val="000000" w:themeColor="text1"/>
          <w:sz w:val="44"/>
          <w:szCs w:val="44"/>
          <w:highlight w:val="none"/>
          <w14:textFill>
            <w14:solidFill>
              <w14:schemeClr w14:val="tx1"/>
            </w14:solidFill>
          </w14:textFill>
        </w:rPr>
      </w:pPr>
    </w:p>
    <w:p w14:paraId="3B2703E4">
      <w:pPr>
        <w:pStyle w:val="3"/>
        <w:ind w:firstLine="640"/>
        <w:jc w:val="center"/>
        <w:rPr>
          <w:rFonts w:hint="eastAsia" w:ascii="仿宋" w:hAnsi="仿宋" w:eastAsia="仿宋" w:cs="仿宋"/>
          <w:b/>
          <w:bCs/>
          <w:color w:val="000000" w:themeColor="text1"/>
          <w:spacing w:val="-20"/>
          <w:kern w:val="44"/>
          <w:sz w:val="36"/>
          <w:szCs w:val="36"/>
          <w:highlight w:val="none"/>
          <w14:textFill>
            <w14:solidFill>
              <w14:schemeClr w14:val="tx1"/>
            </w14:solidFill>
          </w14:textFill>
        </w:rPr>
      </w:pPr>
      <w:r>
        <w:rPr>
          <w:rFonts w:hint="eastAsia" w:ascii="仿宋" w:hAnsi="仿宋" w:eastAsia="仿宋" w:cs="仿宋"/>
          <w:bCs/>
          <w:color w:val="000000" w:themeColor="text1"/>
          <w:spacing w:val="-20"/>
          <w:kern w:val="44"/>
          <w:sz w:val="36"/>
          <w:szCs w:val="36"/>
          <w:highlight w:val="none"/>
          <w14:textFill>
            <w14:solidFill>
              <w14:schemeClr w14:val="tx1"/>
            </w14:solidFill>
          </w14:textFill>
        </w:rPr>
        <w:t>政府采购货物买卖合同</w:t>
      </w:r>
    </w:p>
    <w:p w14:paraId="7580D7BB">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3FCF5548">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1012F0D3">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187260EC">
      <w:pPr>
        <w:spacing w:line="360" w:lineRule="auto"/>
        <w:ind w:left="420" w:leftChars="200"/>
        <w:rPr>
          <w:rFonts w:hint="eastAsia" w:ascii="仿宋" w:hAnsi="仿宋" w:eastAsia="仿宋" w:cs="仿宋"/>
          <w:color w:val="000000" w:themeColor="text1"/>
          <w:kern w:val="0"/>
          <w:sz w:val="24"/>
          <w:highlight w:val="none"/>
          <w14:textFill>
            <w14:solidFill>
              <w14:schemeClr w14:val="tx1"/>
            </w14:solidFill>
          </w14:textFill>
        </w:rPr>
      </w:pPr>
    </w:p>
    <w:p w14:paraId="3E55EEA7">
      <w:pPr>
        <w:spacing w:line="360" w:lineRule="auto"/>
        <w:ind w:firstLine="1205" w:firstLineChars="5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项目名称</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58CC52C6">
      <w:pPr>
        <w:spacing w:line="360" w:lineRule="auto"/>
        <w:ind w:firstLine="1205" w:firstLineChars="500"/>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合同编号</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526B118B">
      <w:pPr>
        <w:spacing w:line="360" w:lineRule="auto"/>
        <w:ind w:firstLine="1205" w:firstLineChars="500"/>
        <w:rPr>
          <w:rFonts w:hint="eastAsia" w:ascii="仿宋" w:hAnsi="仿宋" w:eastAsia="仿宋" w:cs="仿宋"/>
          <w:b/>
          <w:color w:val="000000" w:themeColor="text1"/>
          <w:kern w:val="0"/>
          <w:sz w:val="24"/>
          <w:highlight w:val="non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甲    方</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06A08DFD">
      <w:pPr>
        <w:spacing w:line="360" w:lineRule="auto"/>
        <w:ind w:firstLine="1205" w:firstLineChars="5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乙    方</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p>
    <w:p w14:paraId="65E89779">
      <w:pPr>
        <w:spacing w:line="360" w:lineRule="auto"/>
        <w:ind w:firstLine="1205" w:firstLineChars="5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b/>
          <w:color w:val="000000" w:themeColor="text1"/>
          <w:kern w:val="0"/>
          <w:sz w:val="24"/>
          <w:highlight w:val="none"/>
          <w14:textFill>
            <w14:solidFill>
              <w14:schemeClr w14:val="tx1"/>
            </w14:solidFill>
          </w14:textFill>
        </w:rPr>
        <w:t>签订时间</w:t>
      </w:r>
      <w:r>
        <w:rPr>
          <w:rFonts w:hint="eastAsia" w:ascii="仿宋" w:hAnsi="仿宋" w:eastAsia="仿宋" w:cs="仿宋"/>
          <w:b/>
          <w:color w:val="000000" w:themeColor="text1"/>
          <w:kern w:val="0"/>
          <w:sz w:val="24"/>
          <w:highlight w:val="none"/>
          <w:lang w:eastAsia="zh-CN"/>
          <w14:textFill>
            <w14:solidFill>
              <w14:schemeClr w14:val="tx1"/>
            </w14:solidFill>
          </w14:textFill>
        </w:rPr>
        <w:t>：</w:t>
      </w:r>
      <w:r>
        <w:rPr>
          <w:rFonts w:hint="eastAsia" w:ascii="仿宋" w:hAnsi="仿宋" w:eastAsia="仿宋" w:cs="仿宋"/>
          <w:color w:val="000000" w:themeColor="text1"/>
          <w:kern w:val="0"/>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b/>
          <w:color w:val="000000" w:themeColor="text1"/>
          <w:kern w:val="0"/>
          <w:sz w:val="24"/>
          <w:highlight w:val="none"/>
          <w14:textFill>
            <w14:solidFill>
              <w14:schemeClr w14:val="tx1"/>
            </w14:solidFill>
          </w14:textFill>
        </w:rPr>
        <w:t xml:space="preserve"> </w:t>
      </w:r>
    </w:p>
    <w:p w14:paraId="3DC57897">
      <w:pPr>
        <w:spacing w:line="360" w:lineRule="auto"/>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u w:val="single"/>
          <w14:textFill>
            <w14:solidFill>
              <w14:schemeClr w14:val="tx1"/>
            </w14:solidFill>
          </w14:textFill>
        </w:rPr>
        <w:br w:type="page"/>
      </w:r>
      <w:r>
        <w:rPr>
          <w:rFonts w:hint="eastAsia" w:ascii="仿宋" w:hAnsi="仿宋" w:eastAsia="仿宋" w:cs="仿宋"/>
          <w:b/>
          <w:color w:val="000000" w:themeColor="text1"/>
          <w:sz w:val="32"/>
          <w:szCs w:val="32"/>
          <w:highlight w:val="none"/>
          <w14:textFill>
            <w14:solidFill>
              <w14:schemeClr w14:val="tx1"/>
            </w14:solidFill>
          </w14:textFill>
        </w:rPr>
        <w:t>使 用 说 明</w:t>
      </w:r>
    </w:p>
    <w:p w14:paraId="44DE6ECD">
      <w:pPr>
        <w:pStyle w:val="3"/>
        <w:rPr>
          <w:rFonts w:hint="eastAsia" w:ascii="仿宋" w:hAnsi="仿宋" w:eastAsia="仿宋" w:cs="仿宋"/>
          <w:color w:val="000000" w:themeColor="text1"/>
          <w:highlight w:val="none"/>
          <w14:textFill>
            <w14:solidFill>
              <w14:schemeClr w14:val="tx1"/>
            </w14:solidFill>
          </w14:textFill>
        </w:rPr>
      </w:pPr>
    </w:p>
    <w:p w14:paraId="6C8720D4">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1.本合同标准文本适用于购买现成货物的采购项目，不包括需要</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定制开发、创新研发的货物采购项目。</w:t>
      </w:r>
    </w:p>
    <w:p w14:paraId="35EE6BEE">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2.本合同标准文本为政府采购货物买卖合同编制提供参考，可以结合采购项目具体情况，对文本作必要的调整修订后使用。</w:t>
      </w:r>
    </w:p>
    <w:p w14:paraId="7BDB2889">
      <w:pPr>
        <w:spacing w:line="480" w:lineRule="auto"/>
        <w:ind w:firstLine="480" w:firstLineChars="200"/>
        <w:rPr>
          <w:rFonts w:hint="eastAsia" w:ascii="仿宋" w:hAnsi="仿宋" w:eastAsia="仿宋" w:cs="仿宋"/>
          <w:color w:val="000000" w:themeColor="text1"/>
          <w:sz w:val="24"/>
          <w:highlight w:val="none"/>
          <w14:textFill>
            <w14:solidFill>
              <w14:schemeClr w14:val="tx1"/>
            </w14:solidFill>
          </w14:textFill>
        </w:rPr>
      </w:pPr>
      <w:r>
        <w:rPr>
          <w:rFonts w:hint="eastAsia" w:ascii="仿宋" w:hAnsi="仿宋" w:eastAsia="仿宋" w:cs="仿宋"/>
          <w:color w:val="000000" w:themeColor="text1"/>
          <w:sz w:val="24"/>
          <w:highlight w:val="none"/>
          <w14:textFill>
            <w14:solidFill>
              <w14:schemeClr w14:val="tx1"/>
            </w14:solidFill>
          </w14:textFill>
        </w:rPr>
        <w:t>3.本合同标准文本各条款中，如涉及填写多家</w:t>
      </w:r>
      <w:r>
        <w:rPr>
          <w:rFonts w:hint="eastAsia" w:ascii="仿宋" w:hAnsi="仿宋" w:eastAsia="仿宋" w:cs="仿宋"/>
          <w:color w:val="000000" w:themeColor="text1"/>
          <w:sz w:val="24"/>
          <w:highlight w:val="none"/>
          <w:lang w:eastAsia="zh-CN"/>
          <w14:textFill>
            <w14:solidFill>
              <w14:schemeClr w14:val="tx1"/>
            </w14:solidFill>
          </w14:textFill>
        </w:rPr>
        <w:t>供应商</w:t>
      </w:r>
      <w:r>
        <w:rPr>
          <w:rFonts w:hint="eastAsia" w:ascii="仿宋" w:hAnsi="仿宋" w:eastAsia="仿宋" w:cs="仿宋"/>
          <w:color w:val="000000" w:themeColor="text1"/>
          <w:sz w:val="24"/>
          <w:highlight w:val="none"/>
          <w14:textFill>
            <w14:solidFill>
              <w14:schemeClr w14:val="tx1"/>
            </w14:solidFill>
          </w14:textFill>
        </w:rPr>
        <w:t>、制造商，多种采购标的、分包主要内容等信息的，可根据采购项目具体情况添加信息项。</w:t>
      </w:r>
    </w:p>
    <w:p w14:paraId="5497AD1D">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第一节 政府采购合同协议书</w:t>
      </w:r>
    </w:p>
    <w:p w14:paraId="3C0DDC88">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甲方（全称）：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（采购人、受采购人委托签订合同的单位或采购文件约定的合同甲方）</w:t>
      </w:r>
    </w:p>
    <w:p w14:paraId="7477D71E">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乙方（全称）：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w:t>
      </w:r>
    </w:p>
    <w:p w14:paraId="45FC311C">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依据《中华人民共和国民法典</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中华人民共和国政府采购法》等有关的法律法规，以及本采购项目的招标文件、乙方的</w:t>
      </w:r>
      <w:r>
        <w:rPr>
          <w:rFonts w:hint="eastAsia" w:ascii="仿宋" w:hAnsi="仿宋" w:eastAsia="仿宋" w:cs="仿宋"/>
          <w:color w:val="000000" w:themeColor="text1"/>
          <w:sz w:val="20"/>
          <w:szCs w:val="20"/>
          <w:highlight w:val="none"/>
          <w:lang w:eastAsia="zh-CN"/>
          <w14:textFill>
            <w14:solidFill>
              <w14:schemeClr w14:val="tx1"/>
            </w14:solidFill>
          </w14:textFill>
        </w:rPr>
        <w:t>响应文件</w:t>
      </w:r>
      <w:r>
        <w:rPr>
          <w:rFonts w:hint="eastAsia" w:ascii="仿宋" w:hAnsi="仿宋" w:eastAsia="仿宋" w:cs="仿宋"/>
          <w:color w:val="000000" w:themeColor="text1"/>
          <w:sz w:val="20"/>
          <w:szCs w:val="20"/>
          <w:highlight w:val="none"/>
          <w14:textFill>
            <w14:solidFill>
              <w14:schemeClr w14:val="tx1"/>
            </w14:solidFill>
          </w14:textFill>
        </w:rPr>
        <w:t xml:space="preserve">及中标通知书等有关文件，甲乙双方同意签订本合同。具体情况及要求如下：    </w:t>
      </w:r>
    </w:p>
    <w:p w14:paraId="326776F4">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1.项目信息</w:t>
      </w:r>
    </w:p>
    <w:p w14:paraId="787525FD">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（1）项目名称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0C99290B">
      <w:pPr>
        <w:pStyle w:val="5"/>
        <w:tabs>
          <w:tab w:val="left" w:pos="999"/>
        </w:tabs>
        <w:adjustRightInd w:val="0"/>
        <w:snapToGrid w:val="0"/>
        <w:spacing w:line="360" w:lineRule="auto"/>
        <w:ind w:firstLine="21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项目编号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3D40CABE">
      <w:pPr>
        <w:pStyle w:val="5"/>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（2）计划编号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1326488A">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（3）项目内容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5AD7B242">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采购标的及数量（台/套</w:t>
      </w:r>
      <w:r>
        <w:rPr>
          <w:rFonts w:hint="eastAsia" w:ascii="仿宋" w:hAnsi="仿宋" w:eastAsia="仿宋" w:cs="仿宋"/>
          <w:color w:val="000000" w:themeColor="text1"/>
          <w:sz w:val="20"/>
          <w:szCs w:val="20"/>
          <w:highlight w:val="none"/>
          <w:lang w:val="en"/>
          <w14:textFill>
            <w14:solidFill>
              <w14:schemeClr w14:val="tx1"/>
            </w14:solidFill>
          </w14:textFill>
        </w:rPr>
        <w:t>/个/架/组等</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4BB334C7">
      <w:pPr>
        <w:adjustRightInd w:val="0"/>
        <w:snapToGrid w:val="0"/>
        <w:spacing w:line="360" w:lineRule="auto"/>
        <w:ind w:firstLine="400" w:firstLineChars="200"/>
        <w:rPr>
          <w:rFonts w:hint="eastAsia" w:ascii="仿宋" w:hAnsi="仿宋" w:eastAsia="仿宋" w:cs="仿宋"/>
          <w:color w:val="000000" w:themeColor="text1"/>
          <w:sz w:val="20"/>
          <w:szCs w:val="20"/>
          <w:highlight w:val="none"/>
          <w:lang w:val="e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品牌：</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规格型号</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lang w:val="en"/>
          <w14:textFill>
            <w14:solidFill>
              <w14:schemeClr w14:val="tx1"/>
            </w14:solidFill>
          </w14:textFill>
        </w:rPr>
        <w:t xml:space="preserve"> </w:t>
      </w:r>
    </w:p>
    <w:p w14:paraId="4EEE915D">
      <w:pPr>
        <w:adjustRightInd w:val="0"/>
        <w:snapToGrid w:val="0"/>
        <w:spacing w:line="360" w:lineRule="auto"/>
        <w:ind w:firstLine="900" w:firstLineChars="45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采购标的的技术要求、商务要求具体见附件。</w:t>
      </w:r>
    </w:p>
    <w:p w14:paraId="7961F9EE">
      <w:pPr>
        <w:pStyle w:val="9"/>
        <w:snapToGrid w:val="0"/>
        <w:spacing w:line="360" w:lineRule="auto"/>
        <w:ind w:firstLine="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4</w:t>
      </w:r>
      <w:r>
        <w:rPr>
          <w:rFonts w:hint="eastAsia" w:ascii="仿宋" w:hAnsi="仿宋" w:eastAsia="仿宋" w:cs="仿宋"/>
          <w:color w:val="000000" w:themeColor="text1"/>
          <w:sz w:val="20"/>
          <w:szCs w:val="20"/>
          <w:highlight w:val="none"/>
          <w14:textFill>
            <w14:solidFill>
              <w14:schemeClr w14:val="tx1"/>
            </w14:solidFill>
          </w14:textFill>
        </w:rPr>
        <w:t>）政府采购组织形式：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政府集中采购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部门集中采购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分散采购</w:t>
      </w:r>
    </w:p>
    <w:p w14:paraId="52CC181C">
      <w:pPr>
        <w:pStyle w:val="9"/>
        <w:snapToGrid w:val="0"/>
        <w:spacing w:line="360" w:lineRule="auto"/>
        <w:ind w:firstLine="42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5</w:t>
      </w:r>
      <w:r>
        <w:rPr>
          <w:rFonts w:hint="eastAsia" w:ascii="仿宋" w:hAnsi="仿宋" w:eastAsia="仿宋" w:cs="仿宋"/>
          <w:color w:val="000000" w:themeColor="text1"/>
          <w:sz w:val="20"/>
          <w:szCs w:val="20"/>
          <w:highlight w:val="none"/>
          <w14:textFill>
            <w14:solidFill>
              <w14:schemeClr w14:val="tx1"/>
            </w14:solidFill>
          </w14:textFill>
        </w:rPr>
        <w:t>）政府采购方式：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公开招标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邀请招标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竞争性谈判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竞争性磋商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询价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单一来源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框架协议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其他：</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00BBB73A">
      <w:pPr>
        <w:pStyle w:val="9"/>
        <w:snapToGrid w:val="0"/>
        <w:spacing w:line="360" w:lineRule="auto"/>
        <w:ind w:firstLine="200" w:firstLineChars="10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6</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kern w:val="2"/>
          <w:sz w:val="20"/>
          <w:szCs w:val="20"/>
          <w:highlight w:val="none"/>
          <w14:textFill>
            <w14:solidFill>
              <w14:schemeClr w14:val="tx1"/>
            </w14:solidFill>
          </w14:textFill>
        </w:rPr>
        <w:t>中标（成交）采购标的制造商是否为中小企业：</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是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否</w:t>
      </w:r>
    </w:p>
    <w:p w14:paraId="4A68DE6A">
      <w:pPr>
        <w:pStyle w:val="9"/>
        <w:snapToGrid w:val="0"/>
        <w:spacing w:line="360" w:lineRule="auto"/>
        <w:ind w:firstLine="42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本合同是否为专门面向中小企业的采购合同（中小企业预留合同）：</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451C10F0">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若本项目不专门面向中小企业采购，是否给予小微企业评审优惠：</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6E46A0F8">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中标（成交）采购标的制造商是否为残疾人福利性单位：</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5F0B641C">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中标（成交）采购标的制造商是否为监狱企业：</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否</w:t>
      </w:r>
    </w:p>
    <w:p w14:paraId="778D5616">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7</w:t>
      </w:r>
      <w:r>
        <w:rPr>
          <w:rFonts w:hint="eastAsia" w:ascii="仿宋" w:hAnsi="仿宋" w:eastAsia="仿宋" w:cs="仿宋"/>
          <w:color w:val="000000" w:themeColor="text1"/>
          <w:sz w:val="20"/>
          <w:szCs w:val="20"/>
          <w:highlight w:val="none"/>
          <w14:textFill>
            <w14:solidFill>
              <w14:schemeClr w14:val="tx1"/>
            </w14:solidFill>
          </w14:textFill>
        </w:rPr>
        <w:t>）合同是否分包：</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否</w:t>
      </w:r>
    </w:p>
    <w:p w14:paraId="05010165">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分包主要内容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0AB7D35A">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/制造商名称（如</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和制造商不同，请分别填写）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47C91599">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/制造商类型（如果</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和制造商不同，只填写制造商类型）：</w:t>
      </w: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大型企业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中型企业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小微型企业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残疾人福利性单位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监狱企业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其他</w:t>
      </w:r>
      <w:r>
        <w:rPr>
          <w:rFonts w:hint="eastAsia" w:ascii="仿宋" w:hAnsi="仿宋" w:eastAsia="仿宋" w:cs="仿宋"/>
          <w:i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00AF5E42">
      <w:pPr>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lang w:val="en"/>
          <w14:textFill>
            <w14:solidFill>
              <w14:schemeClr w14:val="tx1"/>
            </w14:solidFill>
          </w14:textFill>
        </w:rPr>
        <w:t>8</w:t>
      </w:r>
      <w:r>
        <w:rPr>
          <w:rFonts w:hint="eastAsia" w:ascii="仿宋" w:hAnsi="仿宋" w:eastAsia="仿宋" w:cs="仿宋"/>
          <w:color w:val="000000" w:themeColor="text1"/>
          <w:sz w:val="20"/>
          <w:szCs w:val="20"/>
          <w:highlight w:val="none"/>
          <w14:textFill>
            <w14:solidFill>
              <w14:schemeClr w14:val="tx1"/>
            </w14:solidFill>
          </w14:textFill>
        </w:rPr>
        <w:t>）中标（成交）</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是否为外商投资企业：</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是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否</w:t>
      </w:r>
    </w:p>
    <w:p w14:paraId="0D2FF2F6">
      <w:pPr>
        <w:pStyle w:val="9"/>
        <w:tabs>
          <w:tab w:val="left" w:pos="1340"/>
        </w:tabs>
        <w:spacing w:line="360" w:lineRule="auto"/>
        <w:ind w:firstLine="0" w:firstLineChars="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外商投资企业类型：</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全部由外国投资者投资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部分由外国投资者投资</w:t>
      </w:r>
    </w:p>
    <w:p w14:paraId="0A3127DF">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 xml:space="preserve">）是否涉及进口产品：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是，《政府采购品目分类目录》底级品目名称：</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金额：</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国别：</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品牌：</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规格型号：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14592412">
      <w:pPr>
        <w:adjustRightInd w:val="0"/>
        <w:snapToGrid w:val="0"/>
        <w:spacing w:line="360" w:lineRule="auto"/>
        <w:ind w:firstLine="800" w:firstLineChars="4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04C2A3B7">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（1</w:t>
      </w:r>
      <w:r>
        <w:rPr>
          <w:rFonts w:hint="eastAsia" w:ascii="仿宋" w:hAnsi="仿宋" w:eastAsia="仿宋" w:cs="仿宋"/>
          <w:color w:val="000000" w:themeColor="text1"/>
          <w:sz w:val="20"/>
          <w:szCs w:val="20"/>
          <w:highlight w:val="none"/>
          <w:lang w:val="en"/>
          <w14:textFill>
            <w14:solidFill>
              <w14:schemeClr w14:val="tx1"/>
            </w14:solidFill>
          </w14:textFill>
        </w:rPr>
        <w:t>0</w:t>
      </w:r>
      <w:r>
        <w:rPr>
          <w:rFonts w:hint="eastAsia" w:ascii="仿宋" w:hAnsi="仿宋" w:eastAsia="仿宋" w:cs="仿宋"/>
          <w:color w:val="000000" w:themeColor="text1"/>
          <w:sz w:val="20"/>
          <w:szCs w:val="20"/>
          <w:highlight w:val="none"/>
          <w14:textFill>
            <w14:solidFill>
              <w14:schemeClr w14:val="tx1"/>
            </w14:solidFill>
          </w14:textFill>
        </w:rPr>
        <w:t>）是否涉及节能产品：</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是，《节能产品政府采购品目清单》的底级品目名称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iCs/>
          <w:color w:val="000000" w:themeColor="text1"/>
          <w:sz w:val="20"/>
          <w:szCs w:val="20"/>
          <w:highlight w:val="none"/>
          <w14:textFill>
            <w14:solidFill>
              <w14:schemeClr w14:val="tx1"/>
            </w14:solidFill>
          </w14:textFill>
        </w:rPr>
        <w:t xml:space="preserve">     </w:t>
      </w:r>
    </w:p>
    <w:p w14:paraId="476D5847">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005281FC">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5A6E6270">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是否涉及环境标志产品：</w:t>
      </w:r>
    </w:p>
    <w:p w14:paraId="687C2B4A">
      <w:pPr>
        <w:tabs>
          <w:tab w:val="left" w:pos="740"/>
        </w:tabs>
        <w:adjustRightInd w:val="0"/>
        <w:snapToGrid w:val="0"/>
        <w:spacing w:line="360" w:lineRule="auto"/>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是，《环境标志产品政府采购品目清单》的底级品目名称</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4FAC5C81">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4470D72E">
      <w:pPr>
        <w:tabs>
          <w:tab w:val="left" w:pos="740"/>
        </w:tabs>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59218B99">
      <w:pPr>
        <w:pStyle w:val="9"/>
        <w:snapToGrid w:val="0"/>
        <w:spacing w:line="360" w:lineRule="auto"/>
        <w:ind w:firstLine="0" w:firstLineChars="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t xml:space="preserve">是否涉及绿色产品： </w:t>
      </w:r>
    </w:p>
    <w:p w14:paraId="1BF479EE">
      <w:pPr>
        <w:pStyle w:val="9"/>
        <w:spacing w:line="360" w:lineRule="auto"/>
        <w:ind w:firstLine="420" w:firstLineChars="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是，绿色产品政府采购相关政策确定的底级品目名称</w:t>
      </w: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75C00E7C">
      <w:pPr>
        <w:tabs>
          <w:tab w:val="left" w:pos="740"/>
        </w:tabs>
        <w:adjustRightInd w:val="0"/>
        <w:snapToGrid w:val="0"/>
        <w:spacing w:line="360" w:lineRule="auto"/>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强制采购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优先采购    </w:t>
      </w:r>
    </w:p>
    <w:p w14:paraId="2E3A7FFA">
      <w:pPr>
        <w:pStyle w:val="9"/>
        <w:spacing w:line="360" w:lineRule="auto"/>
        <w:ind w:firstLine="420" w:firstLineChars="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 xml:space="preserve"> </w:t>
      </w:r>
      <w:r>
        <w:rPr>
          <w:rFonts w:hint="eastAsia" w:ascii="仿宋" w:hAnsi="仿宋" w:eastAsia="仿宋" w:cs="仿宋"/>
          <w:color w:val="000000" w:themeColor="text1"/>
          <w:kern w:val="2"/>
          <w:sz w:val="20"/>
          <w:szCs w:val="20"/>
          <w:highlight w:val="none"/>
          <w14:textFill>
            <w14:solidFill>
              <w14:schemeClr w14:val="tx1"/>
            </w14:solidFill>
          </w14:textFill>
        </w:rPr>
        <w:sym w:font="Wingdings" w:char="00A8"/>
      </w:r>
      <w:r>
        <w:rPr>
          <w:rFonts w:hint="eastAsia" w:ascii="仿宋" w:hAnsi="仿宋" w:eastAsia="仿宋" w:cs="仿宋"/>
          <w:color w:val="000000" w:themeColor="text1"/>
          <w:kern w:val="2"/>
          <w:sz w:val="20"/>
          <w:szCs w:val="20"/>
          <w:highlight w:val="none"/>
          <w14:textFill>
            <w14:solidFill>
              <w14:schemeClr w14:val="tx1"/>
            </w14:solidFill>
          </w14:textFill>
        </w:rPr>
        <w:t xml:space="preserve"> 否</w:t>
      </w:r>
    </w:p>
    <w:p w14:paraId="5F660B9D">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（1</w:t>
      </w:r>
      <w:r>
        <w:rPr>
          <w:rFonts w:hint="eastAsia" w:ascii="仿宋" w:hAnsi="仿宋" w:eastAsia="仿宋" w:cs="仿宋"/>
          <w:color w:val="000000" w:themeColor="text1"/>
          <w:sz w:val="20"/>
          <w:szCs w:val="20"/>
          <w:highlight w:val="none"/>
          <w:lang w:val="en"/>
          <w14:textFill>
            <w14:solidFill>
              <w14:schemeClr w14:val="tx1"/>
            </w14:solidFill>
          </w14:textFill>
        </w:rPr>
        <w:t>1</w:t>
      </w:r>
      <w:r>
        <w:rPr>
          <w:rFonts w:hint="eastAsia" w:ascii="仿宋" w:hAnsi="仿宋" w:eastAsia="仿宋" w:cs="仿宋"/>
          <w:color w:val="000000" w:themeColor="text1"/>
          <w:sz w:val="20"/>
          <w:szCs w:val="20"/>
          <w:highlight w:val="none"/>
          <w14:textFill>
            <w14:solidFill>
              <w14:schemeClr w14:val="tx1"/>
            </w14:solidFill>
          </w14:textFill>
        </w:rPr>
        <w:t>）涉及商品包装和快递包装的，是否参考《商品包装政府采购需求标准（试行）</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快递包装政府采购需求标准（试行）》明确产品及相关快递服务的具体包装要求：</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不涉及</w:t>
      </w:r>
    </w:p>
    <w:p w14:paraId="3034AF9F">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2.合同金额</w:t>
      </w:r>
    </w:p>
    <w:p w14:paraId="7AA96F3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（1）合同总价：人民币（大写）</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元，（￥</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p w14:paraId="222627E9">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本合同总价是货物（产品）设计、材料、制造、包装、运输、安装、调试、检测、验收合格交付使用之前及保修期内保修服务与备用物件等其他有关各项的含税费用。  </w:t>
      </w:r>
    </w:p>
    <w:p w14:paraId="076E3EFA">
      <w:pPr>
        <w:adjustRightInd w:val="0"/>
        <w:snapToGrid w:val="0"/>
        <w:spacing w:line="360" w:lineRule="auto"/>
        <w:ind w:firstLine="600" w:firstLineChars="3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分包金额（如有）小写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7CA1EA74">
      <w:pPr>
        <w:adjustRightInd w:val="0"/>
        <w:snapToGrid w:val="0"/>
        <w:spacing w:line="360" w:lineRule="auto"/>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大写</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41FB2D71">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（注：固定单价合同应填写单价和最高限价）</w:t>
      </w:r>
    </w:p>
    <w:p w14:paraId="641CA527">
      <w:pPr>
        <w:adjustRightInd w:val="0"/>
        <w:snapToGrid w:val="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（2）合同定价方式（采用组合定价方式的，可以勾选多项）：</w:t>
      </w:r>
    </w:p>
    <w:p w14:paraId="247B2C46">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 xml:space="preserve">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固定总价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固定单价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固定费率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成本补偿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绩效激励 </w:t>
      </w:r>
      <w:r>
        <w:rPr>
          <w:rFonts w:hint="eastAsia" w:ascii="仿宋" w:hAnsi="仿宋" w:eastAsia="仿宋" w:cs="仿宋"/>
          <w:iCs/>
          <w:color w:val="000000" w:themeColor="text1"/>
          <w:sz w:val="20"/>
          <w:szCs w:val="20"/>
          <w:highlight w:val="none"/>
          <w14:textFill>
            <w14:solidFill>
              <w14:schemeClr w14:val="tx1"/>
            </w14:solidFill>
          </w14:textFill>
        </w:rPr>
        <w:sym w:font="Wingdings" w:char="00A8"/>
      </w:r>
      <w:r>
        <w:rPr>
          <w:rFonts w:hint="eastAsia" w:ascii="仿宋" w:hAnsi="仿宋" w:eastAsia="仿宋" w:cs="仿宋"/>
          <w:iCs/>
          <w:color w:val="000000" w:themeColor="text1"/>
          <w:sz w:val="20"/>
          <w:szCs w:val="20"/>
          <w:highlight w:val="none"/>
          <w14:textFill>
            <w14:solidFill>
              <w14:schemeClr w14:val="tx1"/>
            </w14:solidFill>
          </w14:textFill>
        </w:rPr>
        <w:t xml:space="preserve"> 其他</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2C4D5C23">
      <w:pPr>
        <w:pStyle w:val="10"/>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（3）付款方式（按项目实际勾选填写）：</w:t>
      </w:r>
    </w:p>
    <w:p w14:paraId="5F459E1B">
      <w:pPr>
        <w:adjustRightInd w:val="0"/>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全额付款：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所有货物交货完成，验收合格，达到付款条件起 30 日内，支付合同总金额的 100.00%。   </w:t>
      </w:r>
    </w:p>
    <w:p w14:paraId="0D46940E">
      <w:pPr>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分期付款：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（应明确分期支付合同款项的各期比例和支付条件，各期支付条件应与分期履约验收情况挂钩） </w:t>
      </w:r>
      <w:r>
        <w:rPr>
          <w:rFonts w:hint="eastAsia" w:ascii="仿宋" w:hAnsi="仿宋" w:eastAsia="仿宋" w:cs="仿宋"/>
          <w:color w:val="000000" w:themeColor="text1"/>
          <w:sz w:val="20"/>
          <w:szCs w:val="20"/>
          <w:highlight w:val="none"/>
          <w14:textFill>
            <w14:solidFill>
              <w14:schemeClr w14:val="tx1"/>
            </w14:solidFill>
          </w14:textFill>
        </w:rPr>
        <w:t>，其中涉及预付款的：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（应明确预付款的支付比例和支付条件） </w:t>
      </w:r>
    </w:p>
    <w:p w14:paraId="11DACD00">
      <w:pPr>
        <w:adjustRightInd w:val="0"/>
        <w:snapToGrid w:val="0"/>
        <w:spacing w:line="360" w:lineRule="auto"/>
        <w:ind w:firstLine="600" w:firstLineChars="3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成本补偿：</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（应明确按照成本补偿方式的支付方式和支付条件）   </w:t>
      </w:r>
    </w:p>
    <w:p w14:paraId="1A58A498">
      <w:pPr>
        <w:adjustRightInd w:val="0"/>
        <w:snapToGrid w:val="0"/>
        <w:spacing w:line="360" w:lineRule="auto"/>
        <w:ind w:firstLine="600" w:firstLineChars="3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绩效激励：</w:t>
      </w:r>
      <w:r>
        <w:rPr>
          <w:rFonts w:hint="eastAsia" w:ascii="仿宋" w:hAnsi="仿宋" w:eastAsia="仿宋" w:cs="仿宋"/>
          <w:color w:val="000000" w:themeColor="text1"/>
          <w:sz w:val="20"/>
          <w:szCs w:val="20"/>
          <w:highlight w:val="none"/>
          <w:u w:val="single"/>
          <w14:textFill>
            <w14:solidFill>
              <w14:schemeClr w14:val="tx1"/>
            </w14:solidFill>
          </w14:textFill>
        </w:rPr>
        <w:t xml:space="preserve"> （应明确按照绩效激励方式的支付方式和支付条件）   </w:t>
      </w:r>
    </w:p>
    <w:p w14:paraId="37DB522A">
      <w:pPr>
        <w:adjustRightInd w:val="0"/>
        <w:snapToGrid w:val="0"/>
        <w:spacing w:line="360" w:lineRule="auto"/>
        <w:rPr>
          <w:rFonts w:hint="eastAsia" w:ascii="仿宋" w:hAnsi="仿宋" w:eastAsia="仿宋" w:cs="仿宋"/>
          <w:b/>
          <w:color w:val="000000" w:themeColor="text1"/>
          <w:sz w:val="20"/>
          <w:szCs w:val="20"/>
          <w:highlight w:val="none"/>
          <w:u w:val="singl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3.合同履行</w:t>
      </w:r>
    </w:p>
    <w:p w14:paraId="6C0C3085">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（1）起始日期：</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日，完成日期：</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5268DFF8">
      <w:pPr>
        <w:adjustRightInd w:val="0"/>
        <w:snapToGrid w:val="0"/>
        <w:spacing w:line="360" w:lineRule="auto"/>
        <w:ind w:firstLine="400" w:firstLineChars="200"/>
        <w:rPr>
          <w:rFonts w:hint="eastAsia" w:ascii="仿宋" w:hAnsi="仿宋" w:eastAsia="仿宋" w:cs="仿宋"/>
          <w:color w:val="000000" w:themeColor="text1"/>
          <w:sz w:val="20"/>
          <w:szCs w:val="20"/>
          <w:highlight w:val="none"/>
          <w:u w:val="singl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（2）履约地点</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6B7CE181">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（3）履约担保：</w:t>
      </w:r>
      <w:r>
        <w:rPr>
          <w:rFonts w:hint="eastAsia" w:ascii="仿宋" w:hAnsi="仿宋" w:eastAsia="仿宋" w:cs="仿宋"/>
          <w:color w:val="000000" w:themeColor="text1"/>
          <w:sz w:val="20"/>
          <w:szCs w:val="20"/>
          <w:highlight w:val="none"/>
          <w14:textFill>
            <w14:solidFill>
              <w14:schemeClr w14:val="tx1"/>
            </w14:solidFill>
          </w14:textFill>
        </w:rPr>
        <w:t>是否收取履约保证金：</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否</w:t>
      </w:r>
    </w:p>
    <w:p w14:paraId="083A20BD">
      <w:pPr>
        <w:pStyle w:val="9"/>
        <w:spacing w:line="360" w:lineRule="auto"/>
        <w:ind w:firstLine="42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收取履约保证金形式</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72919470">
      <w:pPr>
        <w:pStyle w:val="9"/>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收取履约保证金金额：</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02418E5A">
      <w:pPr>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履约担保期限</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4E641DA0">
      <w:pPr>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w:t>
      </w:r>
      <w:r>
        <w:rPr>
          <w:rFonts w:hint="eastAsia" w:ascii="仿宋" w:hAnsi="仿宋" w:eastAsia="仿宋" w:cs="仿宋"/>
          <w:bCs/>
          <w:color w:val="000000" w:themeColor="text1"/>
          <w:sz w:val="20"/>
          <w:szCs w:val="20"/>
          <w:highlight w:val="none"/>
          <w14:textFill>
            <w14:solidFill>
              <w14:schemeClr w14:val="tx1"/>
            </w14:solidFill>
          </w14:textFill>
        </w:rPr>
        <w:t>分期履行要求</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22ECCC37">
      <w:pPr>
        <w:adjustRightInd w:val="0"/>
        <w:snapToGrid w:val="0"/>
        <w:spacing w:line="360" w:lineRule="auto"/>
        <w:ind w:left="42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（5）风险处置措施和替代方案</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p>
    <w:p w14:paraId="2C2083AE">
      <w:pPr>
        <w:adjustRightInd w:val="0"/>
        <w:snapToGrid w:val="0"/>
        <w:spacing w:line="360" w:lineRule="auto"/>
        <w:ind w:left="42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4.合同验收</w:t>
      </w:r>
    </w:p>
    <w:p w14:paraId="45EE9BB9">
      <w:pPr>
        <w:numPr>
          <w:ilvl w:val="0"/>
          <w:numId w:val="1"/>
        </w:num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验收组织方式：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自行组织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委托第三方组织</w:t>
      </w:r>
    </w:p>
    <w:p w14:paraId="1DA31463">
      <w:pPr>
        <w:adjustRightInd w:val="0"/>
        <w:snapToGrid w:val="0"/>
        <w:spacing w:line="360" w:lineRule="auto"/>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验收主体</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722A8AF3">
      <w:pPr>
        <w:adjustRightInd w:val="0"/>
        <w:snapToGrid w:val="0"/>
        <w:spacing w:line="360" w:lineRule="auto"/>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是否邀请本项目的其他</w:t>
      </w:r>
      <w:r>
        <w:rPr>
          <w:rFonts w:hint="eastAsia" w:ascii="仿宋" w:hAnsi="仿宋" w:eastAsia="仿宋" w:cs="仿宋"/>
          <w:bCs/>
          <w:color w:val="000000" w:themeColor="text1"/>
          <w:sz w:val="20"/>
          <w:szCs w:val="20"/>
          <w:highlight w:val="non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14:textFill>
            <w14:solidFill>
              <w14:schemeClr w14:val="tx1"/>
            </w14:solidFill>
          </w14:textFill>
        </w:rPr>
        <w:t>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71338A6F">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是否邀请专家参加验收：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5DA5CE7A">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是否邀请服务对象参加验收：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2DF993CA">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是否邀请第三方检测机构参加验收：</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00DDF6EC">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是否进行抽查检测：</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是，抽查比例：</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1E1CEE3E">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是否存在破坏性检测：</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是，</w:t>
      </w:r>
      <w:r>
        <w:rPr>
          <w:rFonts w:hint="eastAsia" w:ascii="仿宋" w:hAnsi="仿宋" w:eastAsia="仿宋" w:cs="仿宋"/>
          <w:bCs/>
          <w:color w:val="000000" w:themeColor="text1"/>
          <w:sz w:val="20"/>
          <w:szCs w:val="20"/>
          <w:highlight w:val="none"/>
          <w:u w:val="single"/>
          <w14:textFill>
            <w14:solidFill>
              <w14:schemeClr w14:val="tx1"/>
            </w14:solidFill>
          </w14:textFill>
        </w:rPr>
        <w:t>（应明确对被破坏的检测产品的处理方式）</w:t>
      </w:r>
    </w:p>
    <w:p w14:paraId="6BCCE71A">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47C32BA2">
      <w:pPr>
        <w:adjustRightInd w:val="0"/>
        <w:snapToGrid w:val="0"/>
        <w:spacing w:line="360" w:lineRule="auto"/>
        <w:ind w:firstLine="800" w:firstLineChars="4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验收组织的其他事项：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07CD8C5A">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（2）履约验收时间：</w:t>
      </w:r>
      <w:r>
        <w:rPr>
          <w:rFonts w:hint="eastAsia" w:ascii="仿宋" w:hAnsi="仿宋" w:eastAsia="仿宋" w:cs="仿宋"/>
          <w:bCs/>
          <w:color w:val="000000" w:themeColor="text1"/>
          <w:sz w:val="20"/>
          <w:szCs w:val="20"/>
          <w:highlight w:val="none"/>
          <w:u w:val="single"/>
          <w14:textFill>
            <w14:solidFill>
              <w14:schemeClr w14:val="tx1"/>
            </w14:solidFill>
          </w14:textFill>
        </w:rPr>
        <w:t>（计划于何时验收/</w:t>
      </w:r>
      <w:r>
        <w:rPr>
          <w:rFonts w:hint="eastAsia" w:ascii="仿宋" w:hAnsi="仿宋" w:eastAsia="仿宋" w:cs="仿宋"/>
          <w:bCs/>
          <w:color w:val="000000" w:themeColor="text1"/>
          <w:sz w:val="20"/>
          <w:szCs w:val="20"/>
          <w:highlight w:val="none"/>
          <w:u w:val="singl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提出验收申请之日起   日内组织验收） </w:t>
      </w:r>
    </w:p>
    <w:p w14:paraId="61DF35C6">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（3）履约验收方式：</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一次性验收         </w:t>
      </w:r>
    </w:p>
    <w:p w14:paraId="430D1CC2">
      <w:pPr>
        <w:adjustRightInd w:val="0"/>
        <w:snapToGrid w:val="0"/>
        <w:spacing w:line="360" w:lineRule="auto"/>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分期/分项验收：</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（应明确分期</w:t>
      </w:r>
      <w:r>
        <w:rPr>
          <w:rFonts w:hint="eastAsia" w:ascii="仿宋" w:hAnsi="仿宋" w:eastAsia="仿宋" w:cs="仿宋"/>
          <w:bCs/>
          <w:color w:val="000000" w:themeColor="text1"/>
          <w:sz w:val="20"/>
          <w:szCs w:val="20"/>
          <w:highlight w:val="none"/>
          <w:u w:val="single"/>
          <w:lang w:val="en"/>
          <w14:textFill>
            <w14:solidFill>
              <w14:schemeClr w14:val="tx1"/>
            </w14:solidFill>
          </w14:textFill>
        </w:rPr>
        <w:t>/分项验收的工作安排</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719FF51A">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（4）履约验收程序</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09CC1EB7">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（5）履约验收的内容：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（应当包括每一项技术和商务要求的履约情况，特别是落实政府采购扶持中小企业，支持绿色发展和乡村振兴等政策情况）</w:t>
      </w:r>
    </w:p>
    <w:p w14:paraId="3BFF2AFB">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（6）履约验收标准</w:t>
      </w:r>
      <w:r>
        <w:rPr>
          <w:rFonts w:hint="eastAsia" w:ascii="仿宋" w:hAnsi="仿宋" w:eastAsia="仿宋" w:cs="仿宋"/>
          <w:bCs/>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 </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w:t>
      </w:r>
    </w:p>
    <w:p w14:paraId="55FB9190">
      <w:pPr>
        <w:pStyle w:val="9"/>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（7）是否以采购活动中</w:t>
      </w:r>
      <w:r>
        <w:rPr>
          <w:rFonts w:hint="eastAsia" w:ascii="仿宋" w:hAnsi="仿宋" w:eastAsia="仿宋" w:cs="仿宋"/>
          <w:bCs/>
          <w:color w:val="000000" w:themeColor="text1"/>
          <w:sz w:val="20"/>
          <w:szCs w:val="20"/>
          <w:highlight w:val="none"/>
          <w:lang w:eastAsia="zh-CN"/>
          <w14:textFill>
            <w14:solidFill>
              <w14:schemeClr w14:val="tx1"/>
            </w14:solidFill>
          </w14:textFill>
        </w:rPr>
        <w:t>供应商</w:t>
      </w:r>
      <w:r>
        <w:rPr>
          <w:rFonts w:hint="eastAsia" w:ascii="仿宋" w:hAnsi="仿宋" w:eastAsia="仿宋" w:cs="仿宋"/>
          <w:bCs/>
          <w:color w:val="000000" w:themeColor="text1"/>
          <w:sz w:val="20"/>
          <w:szCs w:val="20"/>
          <w:highlight w:val="none"/>
          <w14:textFill>
            <w14:solidFill>
              <w14:schemeClr w14:val="tx1"/>
            </w14:solidFill>
          </w14:textFill>
        </w:rPr>
        <w:t>提供的样品作为参考：</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 xml:space="preserve">是  </w:t>
      </w:r>
      <w:r>
        <w:rPr>
          <w:rFonts w:hint="eastAsia" w:ascii="仿宋" w:hAnsi="仿宋" w:eastAsia="仿宋" w:cs="仿宋"/>
          <w:color w:val="000000" w:themeColor="text1"/>
          <w:sz w:val="20"/>
          <w:szCs w:val="20"/>
          <w:highlight w:val="none"/>
          <w14:textFill>
            <w14:solidFill>
              <w14:schemeClr w14:val="tx1"/>
            </w14:solidFill>
          </w14:textFill>
        </w:rPr>
        <w:sym w:font="Wingdings" w:char="00A8"/>
      </w:r>
      <w:r>
        <w:rPr>
          <w:rFonts w:hint="eastAsia" w:ascii="仿宋" w:hAnsi="仿宋" w:eastAsia="仿宋" w:cs="仿宋"/>
          <w:color w:val="000000" w:themeColor="text1"/>
          <w:sz w:val="20"/>
          <w:szCs w:val="20"/>
          <w:highlight w:val="none"/>
          <w14:textFill>
            <w14:solidFill>
              <w14:schemeClr w14:val="tx1"/>
            </w14:solidFill>
          </w14:textFill>
        </w:rPr>
        <w:t xml:space="preserve"> </w:t>
      </w:r>
      <w:r>
        <w:rPr>
          <w:rFonts w:hint="eastAsia" w:ascii="仿宋" w:hAnsi="仿宋" w:eastAsia="仿宋" w:cs="仿宋"/>
          <w:bCs/>
          <w:color w:val="000000" w:themeColor="text1"/>
          <w:sz w:val="20"/>
          <w:szCs w:val="20"/>
          <w:highlight w:val="none"/>
          <w14:textFill>
            <w14:solidFill>
              <w14:schemeClr w14:val="tx1"/>
            </w14:solidFill>
          </w14:textFill>
        </w:rPr>
        <w:t>否</w:t>
      </w:r>
    </w:p>
    <w:p w14:paraId="0EB94548">
      <w:pPr>
        <w:pStyle w:val="11"/>
        <w:numPr>
          <w:ilvl w:val="0"/>
          <w:numId w:val="2"/>
        </w:numPr>
        <w:adjustRightInd w:val="0"/>
        <w:snapToGrid w:val="0"/>
        <w:spacing w:line="360" w:lineRule="auto"/>
        <w:ind w:firstLineChars="0"/>
        <w:rPr>
          <w:rFonts w:hint="eastAsia" w:ascii="仿宋" w:hAnsi="仿宋" w:eastAsia="仿宋" w:cs="仿宋"/>
          <w:bCs/>
          <w:color w:val="000000" w:themeColor="text1"/>
          <w:sz w:val="20"/>
          <w:szCs w:val="20"/>
          <w:highlight w:val="none"/>
          <w:u w:val="singl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履约验收其他事项：</w:t>
      </w:r>
      <w:r>
        <w:rPr>
          <w:rFonts w:hint="eastAsia" w:ascii="仿宋" w:hAnsi="仿宋" w:eastAsia="仿宋" w:cs="仿宋"/>
          <w:bCs/>
          <w:color w:val="000000" w:themeColor="text1"/>
          <w:sz w:val="20"/>
          <w:szCs w:val="20"/>
          <w:highlight w:val="none"/>
          <w:u w:val="single"/>
          <w14:textFill>
            <w14:solidFill>
              <w14:schemeClr w14:val="tx1"/>
            </w14:solidFill>
          </w14:textFill>
        </w:rPr>
        <w:t xml:space="preserve">      （产权过户登记等）          </w:t>
      </w:r>
    </w:p>
    <w:p w14:paraId="120AFDAF">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5.组成合同的文件</w:t>
      </w:r>
    </w:p>
    <w:p w14:paraId="74D113FD">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本协议书与下列文件一起构成合同文件，如下述文件之间有任何抵触、矛盾或歧义，应按以下顺序解释：</w:t>
      </w:r>
    </w:p>
    <w:p w14:paraId="3A365B54">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（1）政府采购合同协议书及其变更、补充协议</w:t>
      </w:r>
    </w:p>
    <w:p w14:paraId="3C222C4D">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（2）政府采购合同专用条款</w:t>
      </w:r>
    </w:p>
    <w:p w14:paraId="6BC3C388">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（3）政府采购合同通用条款</w:t>
      </w:r>
    </w:p>
    <w:p w14:paraId="112C2D26">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（4）中标（成交）通知书</w:t>
      </w:r>
    </w:p>
    <w:p w14:paraId="455996DD">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w:t>
      </w:r>
    </w:p>
    <w:p w14:paraId="3FDFBB14">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（6）采购文件</w:t>
      </w:r>
    </w:p>
    <w:p w14:paraId="15AC4526">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（7）有关技术文件，图纸</w:t>
      </w:r>
    </w:p>
    <w:p w14:paraId="36F8BDFF">
      <w:pPr>
        <w:pStyle w:val="9"/>
        <w:spacing w:line="360" w:lineRule="auto"/>
        <w:ind w:firstLineChars="0"/>
        <w:rPr>
          <w:rFonts w:hint="eastAsia" w:ascii="仿宋" w:hAnsi="仿宋" w:eastAsia="仿宋" w:cs="仿宋"/>
          <w:color w:val="000000" w:themeColor="text1"/>
          <w:kern w:val="2"/>
          <w:sz w:val="20"/>
          <w:szCs w:val="20"/>
          <w:highlight w:val="none"/>
          <w14:textFill>
            <w14:solidFill>
              <w14:schemeClr w14:val="tx1"/>
            </w14:solidFill>
          </w14:textFill>
        </w:rPr>
      </w:pPr>
      <w:r>
        <w:rPr>
          <w:rFonts w:hint="eastAsia" w:ascii="仿宋" w:hAnsi="仿宋" w:eastAsia="仿宋" w:cs="仿宋"/>
          <w:color w:val="000000" w:themeColor="text1"/>
          <w:kern w:val="2"/>
          <w:sz w:val="20"/>
          <w:szCs w:val="20"/>
          <w:highlight w:val="none"/>
          <w14:textFill>
            <w14:solidFill>
              <w14:schemeClr w14:val="tx1"/>
            </w14:solidFill>
          </w14:textFill>
        </w:rPr>
        <w:t>（8）国家法律、行政法规和规章制度规定或合同约定的作为合同组成部分的其他文件</w:t>
      </w:r>
    </w:p>
    <w:p w14:paraId="18558D6B">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6.合同生效</w:t>
      </w:r>
    </w:p>
    <w:p w14:paraId="189AAF51">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本合同自</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生效。</w:t>
      </w:r>
    </w:p>
    <w:p w14:paraId="561B7A2A">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7.合同份数</w:t>
      </w:r>
    </w:p>
    <w:p w14:paraId="3773D4E0">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份，甲方执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份，乙方执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份，均具有同等法律效力。</w:t>
      </w:r>
    </w:p>
    <w:p w14:paraId="12B2E93F">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合同订立时间：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03B4E321">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合同订立地点：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p>
    <w:p w14:paraId="244AB7AB">
      <w:pPr>
        <w:adjustRightInd w:val="0"/>
        <w:snapToGrid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附件：具体标的及其技术要求和商务要求、联合协议、分包意向协议等。</w:t>
      </w:r>
    </w:p>
    <w:p w14:paraId="18547EDD">
      <w:pPr>
        <w:pStyle w:val="3"/>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br w:type="page"/>
      </w:r>
    </w:p>
    <w:tbl>
      <w:tblPr>
        <w:tblStyle w:val="7"/>
        <w:tblW w:w="4927" w:type="pct"/>
        <w:tblInd w:w="113"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37CFD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514D9C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08C9758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w:t>
            </w:r>
          </w:p>
        </w:tc>
      </w:tr>
      <w:tr w14:paraId="03A37B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12A3984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09A0CAB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5F6F302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单位名称（公章或合同章）</w:t>
            </w:r>
          </w:p>
        </w:tc>
        <w:tc>
          <w:tcPr>
            <w:tcW w:w="1259" w:type="pct"/>
            <w:tcBorders>
              <w:top w:val="single" w:color="auto" w:sz="2" w:space="0"/>
              <w:left w:val="single" w:color="auto" w:sz="2" w:space="0"/>
              <w:bottom w:val="single" w:color="auto" w:sz="2" w:space="0"/>
            </w:tcBorders>
            <w:vAlign w:val="center"/>
          </w:tcPr>
          <w:p w14:paraId="754710BE">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532583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2C9BFE0">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w:t>
            </w:r>
          </w:p>
          <w:p w14:paraId="27321625">
            <w:pPr>
              <w:adjustRightInd w:val="0"/>
              <w:snapToGrid w:val="0"/>
              <w:spacing w:line="300" w:lineRule="exact"/>
              <w:ind w:firstLine="96" w:firstLineChars="48"/>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16DB00D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right w:val="single" w:color="auto" w:sz="2" w:space="0"/>
            </w:tcBorders>
            <w:vAlign w:val="center"/>
          </w:tcPr>
          <w:p w14:paraId="6BBE450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法定代表人</w:t>
            </w:r>
          </w:p>
          <w:p w14:paraId="04A9191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或其委托代理人（签章）</w:t>
            </w:r>
          </w:p>
        </w:tc>
        <w:tc>
          <w:tcPr>
            <w:tcW w:w="1259" w:type="pct"/>
            <w:tcBorders>
              <w:top w:val="single" w:color="auto" w:sz="2" w:space="0"/>
              <w:left w:val="single" w:color="auto" w:sz="2" w:space="0"/>
              <w:bottom w:val="single" w:color="auto" w:sz="2" w:space="0"/>
            </w:tcBorders>
            <w:vAlign w:val="center"/>
          </w:tcPr>
          <w:p w14:paraId="6B9D8FD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r>
      <w:tr w14:paraId="40A184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1DBA02FD">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vMerge w:val="continue"/>
            <w:tcBorders>
              <w:left w:val="single" w:color="auto" w:sz="2" w:space="0"/>
              <w:bottom w:val="single" w:color="auto" w:sz="2" w:space="0"/>
              <w:right w:val="single" w:color="auto" w:sz="2" w:space="0"/>
            </w:tcBorders>
            <w:vAlign w:val="center"/>
          </w:tcPr>
          <w:p w14:paraId="50C65D2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6A9D5E0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拥有者性别</w:t>
            </w:r>
          </w:p>
        </w:tc>
        <w:tc>
          <w:tcPr>
            <w:tcW w:w="1259" w:type="pct"/>
            <w:tcBorders>
              <w:top w:val="single" w:color="auto" w:sz="2" w:space="0"/>
              <w:left w:val="single" w:color="auto" w:sz="2" w:space="0"/>
              <w:bottom w:val="single" w:color="auto" w:sz="2" w:space="0"/>
            </w:tcBorders>
            <w:vAlign w:val="center"/>
          </w:tcPr>
          <w:p w14:paraId="63F5722E">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45D293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DC31E6">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A99100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44F1CBE">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住  所</w:t>
            </w:r>
          </w:p>
        </w:tc>
        <w:tc>
          <w:tcPr>
            <w:tcW w:w="1259" w:type="pct"/>
            <w:tcBorders>
              <w:top w:val="single" w:color="auto" w:sz="2" w:space="0"/>
              <w:left w:val="single" w:color="auto" w:sz="2" w:space="0"/>
              <w:bottom w:val="single" w:color="auto" w:sz="2" w:space="0"/>
            </w:tcBorders>
            <w:vAlign w:val="center"/>
          </w:tcPr>
          <w:p w14:paraId="42FC7FF7">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3A40A3D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15B58AE">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17EBC2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1E7AA593">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 系 人</w:t>
            </w:r>
          </w:p>
        </w:tc>
        <w:tc>
          <w:tcPr>
            <w:tcW w:w="1259" w:type="pct"/>
            <w:tcBorders>
              <w:top w:val="single" w:color="auto" w:sz="2" w:space="0"/>
              <w:left w:val="single" w:color="auto" w:sz="2" w:space="0"/>
              <w:bottom w:val="single" w:color="auto" w:sz="2" w:space="0"/>
            </w:tcBorders>
            <w:vAlign w:val="center"/>
          </w:tcPr>
          <w:p w14:paraId="64EC1844">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52CD96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427CB6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EE0874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313B6E3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联系电话</w:t>
            </w:r>
          </w:p>
        </w:tc>
        <w:tc>
          <w:tcPr>
            <w:tcW w:w="1259" w:type="pct"/>
            <w:tcBorders>
              <w:top w:val="single" w:color="auto" w:sz="2" w:space="0"/>
              <w:left w:val="single" w:color="auto" w:sz="2" w:space="0"/>
              <w:bottom w:val="single" w:color="auto" w:sz="2" w:space="0"/>
            </w:tcBorders>
            <w:vAlign w:val="center"/>
          </w:tcPr>
          <w:p w14:paraId="6BE0AEED">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D949E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0E32ACD">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2C62768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2CFB96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通信地址</w:t>
            </w:r>
          </w:p>
        </w:tc>
        <w:tc>
          <w:tcPr>
            <w:tcW w:w="1259" w:type="pct"/>
            <w:tcBorders>
              <w:top w:val="single" w:color="auto" w:sz="2" w:space="0"/>
              <w:left w:val="single" w:color="auto" w:sz="2" w:space="0"/>
              <w:bottom w:val="single" w:color="auto" w:sz="2" w:space="0"/>
            </w:tcBorders>
            <w:vAlign w:val="center"/>
          </w:tcPr>
          <w:p w14:paraId="258596AE">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5E8540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D719D54">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770D753">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1A596FB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邮政编码</w:t>
            </w:r>
          </w:p>
        </w:tc>
        <w:tc>
          <w:tcPr>
            <w:tcW w:w="1259" w:type="pct"/>
            <w:tcBorders>
              <w:top w:val="single" w:color="auto" w:sz="2" w:space="0"/>
              <w:left w:val="single" w:color="auto" w:sz="2" w:space="0"/>
              <w:bottom w:val="single" w:color="auto" w:sz="2" w:space="0"/>
            </w:tcBorders>
            <w:vAlign w:val="center"/>
          </w:tcPr>
          <w:p w14:paraId="49A0D90A">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1D137D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9C48C2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1937FEB">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204819F8">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电子邮箱</w:t>
            </w:r>
          </w:p>
        </w:tc>
        <w:tc>
          <w:tcPr>
            <w:tcW w:w="1259" w:type="pct"/>
            <w:tcBorders>
              <w:top w:val="single" w:color="auto" w:sz="2" w:space="0"/>
              <w:left w:val="single" w:color="auto" w:sz="2" w:space="0"/>
              <w:bottom w:val="single" w:color="auto" w:sz="2" w:space="0"/>
            </w:tcBorders>
            <w:vAlign w:val="center"/>
          </w:tcPr>
          <w:p w14:paraId="3784A61A">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2BE546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41A4E0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5E06AD9E">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00D3D92">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统一社会信用代码</w:t>
            </w:r>
          </w:p>
        </w:tc>
        <w:tc>
          <w:tcPr>
            <w:tcW w:w="1259" w:type="pct"/>
            <w:tcBorders>
              <w:top w:val="single" w:color="auto" w:sz="2" w:space="0"/>
              <w:left w:val="single" w:color="auto" w:sz="2" w:space="0"/>
              <w:bottom w:val="single" w:color="auto" w:sz="2" w:space="0"/>
            </w:tcBorders>
            <w:vAlign w:val="center"/>
          </w:tcPr>
          <w:p w14:paraId="15FAE5FB">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190DE5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AD837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1EA93F9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7A3BEA61">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开户名称</w:t>
            </w:r>
          </w:p>
        </w:tc>
        <w:tc>
          <w:tcPr>
            <w:tcW w:w="1259" w:type="pct"/>
            <w:tcBorders>
              <w:top w:val="single" w:color="auto" w:sz="2" w:space="0"/>
              <w:left w:val="single" w:color="auto" w:sz="2" w:space="0"/>
              <w:bottom w:val="single" w:color="auto" w:sz="2" w:space="0"/>
            </w:tcBorders>
            <w:vAlign w:val="center"/>
          </w:tcPr>
          <w:p w14:paraId="5521BF79">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E48287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B5CA8A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35E3E38F">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2B3219BA">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开户银行</w:t>
            </w:r>
          </w:p>
        </w:tc>
        <w:tc>
          <w:tcPr>
            <w:tcW w:w="1259" w:type="pct"/>
            <w:tcBorders>
              <w:top w:val="single" w:color="auto" w:sz="2" w:space="0"/>
              <w:left w:val="single" w:color="auto" w:sz="2" w:space="0"/>
              <w:bottom w:val="single" w:color="auto" w:sz="2" w:space="0"/>
            </w:tcBorders>
            <w:vAlign w:val="center"/>
          </w:tcPr>
          <w:p w14:paraId="78B46027">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781B1E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27166D7">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436" w:type="pct"/>
            <w:tcBorders>
              <w:top w:val="single" w:color="auto" w:sz="2" w:space="0"/>
              <w:left w:val="single" w:color="auto" w:sz="2" w:space="0"/>
              <w:bottom w:val="single" w:color="auto" w:sz="2" w:space="0"/>
              <w:right w:val="single" w:color="auto" w:sz="2" w:space="0"/>
            </w:tcBorders>
            <w:vAlign w:val="center"/>
          </w:tcPr>
          <w:p w14:paraId="3BD689FD">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1178" w:type="pct"/>
            <w:tcBorders>
              <w:top w:val="single" w:color="auto" w:sz="2" w:space="0"/>
              <w:left w:val="single" w:color="auto" w:sz="2" w:space="0"/>
              <w:bottom w:val="single" w:color="auto" w:sz="2" w:space="0"/>
              <w:right w:val="single" w:color="auto" w:sz="2" w:space="0"/>
            </w:tcBorders>
            <w:vAlign w:val="center"/>
          </w:tcPr>
          <w:p w14:paraId="0A4B6E1C">
            <w:pPr>
              <w:adjustRightInd w:val="0"/>
              <w:snapToGrid w:val="0"/>
              <w:spacing w:line="300" w:lineRule="exact"/>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银行账号</w:t>
            </w:r>
          </w:p>
        </w:tc>
        <w:tc>
          <w:tcPr>
            <w:tcW w:w="1259" w:type="pct"/>
            <w:tcBorders>
              <w:top w:val="single" w:color="auto" w:sz="2" w:space="0"/>
              <w:left w:val="single" w:color="auto" w:sz="2" w:space="0"/>
              <w:bottom w:val="single" w:color="auto" w:sz="2" w:space="0"/>
            </w:tcBorders>
            <w:vAlign w:val="center"/>
          </w:tcPr>
          <w:p w14:paraId="469AD192">
            <w:pPr>
              <w:adjustRightInd w:val="0"/>
              <w:snapToGrid w:val="0"/>
              <w:spacing w:line="300" w:lineRule="exact"/>
              <w:jc w:val="center"/>
              <w:rPr>
                <w:rFonts w:hint="eastAsia" w:ascii="仿宋" w:hAnsi="仿宋" w:eastAsia="仿宋" w:cs="仿宋"/>
                <w:color w:val="000000" w:themeColor="text1"/>
                <w:spacing w:val="20"/>
                <w:sz w:val="20"/>
                <w:szCs w:val="20"/>
                <w:highlight w:val="none"/>
                <w14:textFill>
                  <w14:solidFill>
                    <w14:schemeClr w14:val="tx1"/>
                  </w14:solidFill>
                </w14:textFill>
              </w:rPr>
            </w:pPr>
          </w:p>
        </w:tc>
      </w:tr>
      <w:tr w14:paraId="21412C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543048D9">
            <w:pPr>
              <w:pStyle w:val="5"/>
              <w:adjustRightInd w:val="0"/>
              <w:snapToGrid w:val="0"/>
              <w:spacing w:before="156" w:beforeLines="50" w:line="360" w:lineRule="auto"/>
              <w:ind w:firstLine="210"/>
              <w:jc w:val="left"/>
              <w:rPr>
                <w:rFonts w:hint="eastAsia" w:ascii="仿宋" w:hAnsi="仿宋" w:eastAsia="仿宋" w:cs="仿宋"/>
                <w:color w:val="000000" w:themeColor="text1"/>
                <w:spacing w:val="20"/>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注：涉及联合体或其他合同主体的信息应按上表格式加列。</w:t>
            </w:r>
          </w:p>
        </w:tc>
      </w:tr>
    </w:tbl>
    <w:p w14:paraId="7C2A02A4">
      <w:pPr>
        <w:pStyle w:val="4"/>
        <w:ind w:firstLine="210"/>
        <w:rPr>
          <w:rFonts w:hint="eastAsia" w:ascii="仿宋" w:hAnsi="仿宋" w:eastAsia="仿宋" w:cs="仿宋"/>
          <w:color w:val="000000" w:themeColor="text1"/>
          <w:highlight w:val="none"/>
          <w14:textFill>
            <w14:solidFill>
              <w14:schemeClr w14:val="tx1"/>
            </w14:solidFill>
          </w14:textFill>
        </w:rPr>
      </w:pPr>
    </w:p>
    <w:p w14:paraId="7D7DC93D">
      <w:pPr>
        <w:pStyle w:val="4"/>
        <w:ind w:firstLine="210"/>
        <w:rPr>
          <w:rFonts w:hint="eastAsia" w:ascii="仿宋" w:hAnsi="仿宋" w:eastAsia="仿宋" w:cs="仿宋"/>
          <w:color w:val="000000" w:themeColor="text1"/>
          <w:highlight w:val="none"/>
          <w14:textFill>
            <w14:solidFill>
              <w14:schemeClr w14:val="tx1"/>
            </w14:solidFill>
          </w14:textFill>
        </w:rPr>
      </w:pPr>
    </w:p>
    <w:p w14:paraId="0CA19B00">
      <w:pPr>
        <w:pStyle w:val="4"/>
        <w:ind w:firstLine="210"/>
        <w:rPr>
          <w:rFonts w:hint="eastAsia" w:ascii="仿宋" w:hAnsi="仿宋" w:eastAsia="仿宋" w:cs="仿宋"/>
          <w:color w:val="000000" w:themeColor="text1"/>
          <w:highlight w:val="none"/>
          <w14:textFill>
            <w14:solidFill>
              <w14:schemeClr w14:val="tx1"/>
            </w14:solidFill>
          </w14:textFill>
        </w:rPr>
      </w:pPr>
    </w:p>
    <w:p w14:paraId="3836CD7E">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第二节 政府采购合同通用条款</w:t>
      </w:r>
    </w:p>
    <w:p w14:paraId="4F5892C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 定义</w:t>
      </w:r>
    </w:p>
    <w:p w14:paraId="58E3338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1.1合同当事人</w:t>
      </w:r>
    </w:p>
    <w:p w14:paraId="6C3BFBF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（1）采购人（以下称甲方）是指使用财政性资金，通过政府采购方式向</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购买货物及其相关服务的国家机关、事业单位、团体组织。</w:t>
      </w:r>
    </w:p>
    <w:p w14:paraId="1C94692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（以下称乙方）是指参加政府采购活动并且中标（成交），向采购人提供合同约定的货物及其相关服务的法人、非法人组织或者自然人。</w:t>
      </w:r>
    </w:p>
    <w:p w14:paraId="756F37C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（3）其他合同主体是指除采购人和</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以外，依法参与合同缔结或履行，享有权利、承担义务的合同当事人。</w:t>
      </w:r>
    </w:p>
    <w:p w14:paraId="5621BBD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1.2本合同下列术语应解释为：</w:t>
      </w:r>
    </w:p>
    <w:p w14:paraId="79441CB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（1）“合同”系指合同当事人意思表示达成一致的任何协议，包括签署的政府采购合同协议书及其变更、补充协议，政府采购合同专用条款，政府采购合同通用条款，中标（成交）通知书，投标（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）文件，采购文件，有关技术文件和图纸，以及国家法律、行政法规和规章制度规定或合同约定的作为合同组成部分的其他文件。</w:t>
      </w:r>
    </w:p>
    <w:p w14:paraId="7374466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（2）“合同价款”系指根据本合同规定乙方在全面履行合同义务后甲方应支付给乙方的价款。</w:t>
      </w:r>
    </w:p>
    <w:p w14:paraId="6CC391F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（3）“货物”系指乙方根据本合同规定须向甲方提供的各种形态和种类的物品，包括原材料、设备、产品（包括软件）及相关</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备品备件、工具、手册及其他技术资料和材料等。</w:t>
      </w:r>
    </w:p>
    <w:p w14:paraId="34EDD55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4294AD8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（5）“分包”系指中标（成交）</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按采购文件、投标（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）文件的规定，根据分包意向协议，将中标（成交）项目中的部分履约内容，分给具有相应资质条件的</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履行合同的行为。</w:t>
      </w:r>
    </w:p>
    <w:p w14:paraId="11D0A73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（6）“联合体”系指由两个以上的自然人、法人或者非法人组织组成，以一个</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政府采购合同专用条款】。</w:t>
      </w:r>
    </w:p>
    <w:p w14:paraId="3D8FBDB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（7）其他术语解释，见【政府采购合同专用条款】。</w:t>
      </w:r>
    </w:p>
    <w:p w14:paraId="0D4A956C">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 合同标的及金额</w:t>
      </w:r>
    </w:p>
    <w:p w14:paraId="2C3699F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 合同标的及金额应与中标（成交）结果一致。乙方为履行本合同而发生的所有费用均应包含在合同价款中，甲方不再另行支付其他任何费用。</w:t>
      </w:r>
    </w:p>
    <w:p w14:paraId="6ACF446D">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3. 履行合同的时间、地点和方式</w:t>
      </w:r>
    </w:p>
    <w:p w14:paraId="39A64E3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3.1 乙方应当在约定的时间、地点，按照约定方式履行合同。</w:t>
      </w:r>
    </w:p>
    <w:p w14:paraId="26A4046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4. 甲方的权利和义务</w:t>
      </w:r>
    </w:p>
    <w:p w14:paraId="501650F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46C4812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03B91F8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4.3 甲方有权要求乙方对缺陷部分予以修复，并按合同约定享有货物保修及其他合同约定的权利。</w:t>
      </w:r>
    </w:p>
    <w:p w14:paraId="0D55B2C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4.4 甲方应当按照合同约定及时对交付的货物进行验收，未在【政府采购合同专用条款】约定的期限内对乙方履约提出任何异议或者向乙方作出任何说明的，视为验收通过。</w:t>
      </w:r>
    </w:p>
    <w:p w14:paraId="3D4B87A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4.5 甲方应当根据合同约定及时向乙方支付合同价款，不得以内部人员变更、履行内部付款流程等为由，拒绝或迟延支付。</w:t>
      </w:r>
    </w:p>
    <w:p w14:paraId="6A307C3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4.6 国家法律法规规定及【政府采购合同专用条款】约定应由甲方承担的其他义务和责任。</w:t>
      </w:r>
    </w:p>
    <w:p w14:paraId="680822CC">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5. 乙方的权利和义务</w:t>
      </w:r>
    </w:p>
    <w:p w14:paraId="7D31D08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5.1 签署合同后，乙方应确定项目负责人（或项目联系人），负责与本合同有关的事务。</w:t>
      </w:r>
    </w:p>
    <w:p w14:paraId="42244FE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4AE36D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5.3乙方有权根据合同约定向甲方收取合同价款。</w:t>
      </w:r>
    </w:p>
    <w:p w14:paraId="66A35DE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5.4国家法律法规规定及【政府采购合同专用条款】约定应由乙方承担的其他义务和责任。</w:t>
      </w:r>
    </w:p>
    <w:p w14:paraId="0577255B">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6. 合同履行</w:t>
      </w:r>
    </w:p>
    <w:p w14:paraId="543E86F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6.1 甲乙双方应当按照【政府采购合同专用条款】约定顺序履行合同义务；如果没有先后顺序的，应当同时履行。</w:t>
      </w:r>
    </w:p>
    <w:p w14:paraId="4ED5768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590DC467">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7. 货物包装、运输、保险和交付要求</w:t>
      </w:r>
    </w:p>
    <w:p w14:paraId="36F5C4C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7.1 本合同涉及商品包装、快递包装的，除【政府采购合同专用条款】另有约定外，包装应适应远距离运输、防潮、防震、防锈和防野蛮装卸等要求，确保货物安全无损地运抵【政府采购合同专用条款】约定的指定现场。</w:t>
      </w:r>
    </w:p>
    <w:p w14:paraId="5814139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7.2 除【政府采购合同专用条款】另有约定外，乙方负责办理将货物运抵本合同规定的交货地点，并装卸、交付至甲方的一切运输事项，相关费用应包含在合同价款中。</w:t>
      </w:r>
    </w:p>
    <w:p w14:paraId="281AE9F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7.3 货物保险要求按【政府采购合同专用条款】规定执行。</w:t>
      </w:r>
    </w:p>
    <w:p w14:paraId="77DA2A8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7.4 除采购活动对商品包装、快递包装达成具体约定外，乙方提供产品及相关快递服务</w:t>
      </w:r>
      <w:r>
        <w:rPr>
          <w:rFonts w:hint="eastAsia" w:ascii="仿宋" w:hAnsi="仿宋" w:eastAsia="仿宋" w:cs="仿宋"/>
          <w:color w:val="000000" w:themeColor="text1"/>
          <w:sz w:val="20"/>
          <w:szCs w:val="20"/>
          <w:highlight w:val="none"/>
          <w:lang w:eastAsia="zh-CN"/>
          <w14:textFill>
            <w14:solidFill>
              <w14:schemeClr w14:val="tx1"/>
            </w14:solidFill>
          </w14:textFill>
        </w:rPr>
        <w:t>涉及</w:t>
      </w:r>
      <w:r>
        <w:rPr>
          <w:rFonts w:hint="eastAsia" w:ascii="仿宋" w:hAnsi="仿宋" w:eastAsia="仿宋" w:cs="仿宋"/>
          <w:color w:val="000000" w:themeColor="text1"/>
          <w:sz w:val="20"/>
          <w:szCs w:val="20"/>
          <w:highlight w:val="none"/>
          <w14:textFill>
            <w14:solidFill>
              <w14:schemeClr w14:val="tx1"/>
            </w14:solidFill>
          </w14:textFill>
        </w:rPr>
        <w:t>具体包装要求的，应</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《商品包装政府采购需求标准（试行）》《快递包装政府采购需求标准（试行）》标准，并作为履约验收的内容，必要时甲方可以要求乙方在履约验收环节出具检测报告。</w:t>
      </w:r>
    </w:p>
    <w:p w14:paraId="6403F93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7.5 乙方在运输到达之前应提前通知甲方，并提示货物运输装卸的注意事项，甲方配合乙方做好货物的接收工作。</w:t>
      </w:r>
    </w:p>
    <w:p w14:paraId="3E5D811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7.6 如因包装、运输问题导致货物损毁、丢失或者品质下降，甲方有权要求降价、换货、拒收部分或整批货物，由此产生的费用和损失，均由乙方承担。</w:t>
      </w:r>
    </w:p>
    <w:p w14:paraId="77065D4E">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8. 质量标准和保证</w:t>
      </w:r>
    </w:p>
    <w:p w14:paraId="4E05B54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8.1 质量标准</w:t>
      </w:r>
    </w:p>
    <w:p w14:paraId="2184678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29CC3E0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（2）采用中华人民共和国法定计量单位。</w:t>
      </w:r>
    </w:p>
    <w:p w14:paraId="683E525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（3）乙方所提供的货物应符合国家有关安全、环保、卫生的规定。</w:t>
      </w:r>
    </w:p>
    <w:p w14:paraId="29C79F4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（4）乙方应向甲方提交所提供货物的技术文件，包括相应的中文技术文件，如：产品目录、图纸、操作手册、使用说明、维护手册或服务指南等。上述文件应包装好随货物一同发运。</w:t>
      </w:r>
    </w:p>
    <w:p w14:paraId="4B63ED0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8.2 保证</w:t>
      </w:r>
    </w:p>
    <w:p w14:paraId="4AEA93F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6A13878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（2）在质量保证期内所发现的缺陷，甲方应尽快以书面形式通知乙方。</w:t>
      </w:r>
    </w:p>
    <w:p w14:paraId="1A90D13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（3）乙方收到通知后，应在【政府采购合同专用条款】规定的</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时间内以合理的速度免费维修或更换有缺陷的货物或部件。</w:t>
      </w:r>
    </w:p>
    <w:p w14:paraId="665A78C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（4）在质量保证期内，如果货物的质量或规格与合同不符，或证实货物是有缺陷的，包括潜在的缺陷或使用不符合要求的材料等，甲方可以根据本合同第15.1条规定以书面形式追究乙方的违约责任。</w:t>
      </w:r>
    </w:p>
    <w:p w14:paraId="2E33824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（5）乙方在约定的时间内未能弥补缺陷，甲方可采取必要的补救措施，但其风险和费用将由乙方承担，甲方根据合同约定对乙方行使的其他权利不受影响。</w:t>
      </w:r>
    </w:p>
    <w:p w14:paraId="6D1F8C4A">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9. 权利瑕疵担保</w:t>
      </w:r>
    </w:p>
    <w:p w14:paraId="294667B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9.1 乙方保证对其出售的货物享有合法的权利。</w:t>
      </w:r>
    </w:p>
    <w:p w14:paraId="1AB7F4F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9.2 乙方保证在交付的货物上不存在抵押权等担保物权。</w:t>
      </w:r>
    </w:p>
    <w:p w14:paraId="1ABE811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9.3 如甲方使用上述货物构成对第三人侵权的，则由乙方承担全部责任。</w:t>
      </w:r>
    </w:p>
    <w:p w14:paraId="24F6AF55">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10. 知识产权保护</w:t>
      </w:r>
    </w:p>
    <w:p w14:paraId="099D85F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1BFFE3C9">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11. 保密义务</w:t>
      </w:r>
    </w:p>
    <w:p w14:paraId="17418F6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政府采购合同专用条款】中约定。</w:t>
      </w:r>
    </w:p>
    <w:p w14:paraId="3591626D">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12. 合同价款支付</w:t>
      </w:r>
    </w:p>
    <w:p w14:paraId="2BEE91E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12.1 合同价款支付按照国库集中支付制度及财政管理相关规定执行。</w:t>
      </w:r>
    </w:p>
    <w:p w14:paraId="12D0ABE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14:paraId="140EF188">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13. 履约保证金</w:t>
      </w:r>
    </w:p>
    <w:p w14:paraId="64AD6C9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13.1 乙方应当以支票、汇票、本票或者金融机构、担保机构出具的保函等非现金形式提交。</w:t>
      </w:r>
    </w:p>
    <w:p w14:paraId="3C2E077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13.2 如果乙方出现【政府采购合同专用条款】约定情形的，履约保证金不予退还；如果乙方未能按合同约定全面履行义务，甲方有权从履约保证金中取得补偿或赔偿，且不影响甲方要求乙方承担合同约定的超过履约保证金的违约责任的权利。</w:t>
      </w:r>
    </w:p>
    <w:p w14:paraId="279D0D4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13.3 甲方在项目通过验收后按照【政府采购合同专用条款】规定的时间内将履约保证金退还乙方；逾期退还的，乙方可要求甲方支付违约金，违约金按照【政府采购合同专用条款】规定支付。</w:t>
      </w:r>
    </w:p>
    <w:p w14:paraId="0B5D508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14. 售后服务</w:t>
      </w:r>
    </w:p>
    <w:p w14:paraId="5E20D0C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14.1 除项目不涉及或采购活动中明确约定无须承担外，乙方还应提供下列服务：</w:t>
      </w:r>
    </w:p>
    <w:p w14:paraId="61D2CBA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（1）货物的现场移动、安装、调试、启动监督及技术支持；</w:t>
      </w:r>
    </w:p>
    <w:p w14:paraId="52E9E10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（2）提供货物组装和维修所需的专用工具和辅助材料；</w:t>
      </w:r>
    </w:p>
    <w:p w14:paraId="3438602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（3）在【政府采购合同专用条款】约定的期限内对所有的货物实施运行监督、维修，但前提条件是该服务并不能免除乙方在质量保证期内所承担的义务；</w:t>
      </w:r>
    </w:p>
    <w:p w14:paraId="48499C4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（4）在制造商所在地或指定现场就货物的安装、启动、运营、维护、废弃处置等对甲方操作人员进行培训；</w:t>
      </w:r>
    </w:p>
    <w:p w14:paraId="683F2F5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（5）依照法律、行政法规的规定或者按照【政府采购合同专用条款】约定，货物在有效使用年限届满后应予回收的，乙方负有自行或者委托第三人对货物予以回收的义务；</w:t>
      </w:r>
    </w:p>
    <w:p w14:paraId="02D6111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（6）【政府采购合同专用条款】规定由乙方提供的其他服务。</w:t>
      </w:r>
    </w:p>
    <w:p w14:paraId="6FB992C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14.2 乙方提供的售后服务的费用已包含在合同价款中，甲方不再另行支付。</w:t>
      </w:r>
    </w:p>
    <w:p w14:paraId="71DEAD74">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15. 违约责任</w:t>
      </w:r>
    </w:p>
    <w:p w14:paraId="1E901F0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15.1质量瑕疵的违约责任</w:t>
      </w:r>
    </w:p>
    <w:p w14:paraId="341687F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乙方提供的产品不符合合同约定的质量标准或存在产品质量缺陷，甲方有权要求乙方根据【政府采购合同专用条款】要求及时修理、重作、更换，并承担由此给甲方造成的损失。</w:t>
      </w:r>
    </w:p>
    <w:p w14:paraId="3198B6E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15.2 迟延交货的违约责任</w:t>
      </w:r>
    </w:p>
    <w:p w14:paraId="6807A87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44D124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如果乙方没有按照合同规定的时间交货和提供相关服务，甲方有权从货款中扣除误期赔偿费而不影响合同项下的其他补救方法，赔偿费按【政府采购合同专用条款】规定执行。如果涉及公共利益，且赔偿金额无法弥补公共利益损失，甲方可要求继续履行或者采取其他补救措施。</w:t>
      </w:r>
    </w:p>
    <w:p w14:paraId="37D05B7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15.3 迟延支付的违约责任</w:t>
      </w:r>
    </w:p>
    <w:p w14:paraId="3D851A1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甲方存在迟延支付乙方合同款项的，应当承担【政府采购合同专用条款】规定的逾期付款利息。</w:t>
      </w:r>
    </w:p>
    <w:p w14:paraId="5F8F103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15.4其他违约责任根据项目实际需要按【政府采购合同专用条款】规定执行。</w:t>
      </w:r>
    </w:p>
    <w:p w14:paraId="755A0C6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16. 合同变更、中止与终止</w:t>
      </w:r>
    </w:p>
    <w:p w14:paraId="17B3648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16.1合同的变更</w:t>
      </w:r>
    </w:p>
    <w:p w14:paraId="3527EB6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政府采购合同履行中，在不改变合同其他条款的前提下，甲方可以在合同价款10%的范围内追加与合同标的相同的货物，并就此与乙方协商一致后签订补充协议。</w:t>
      </w:r>
    </w:p>
    <w:p w14:paraId="0991FF9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16.2合同的中止</w:t>
      </w:r>
    </w:p>
    <w:p w14:paraId="36B077B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（1）合同履行过程中因</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就采购文件、采购过程或结果提起投诉的，甲方认为有必要的，可以中止合同的履行。</w:t>
      </w:r>
    </w:p>
    <w:p w14:paraId="797FB92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w:t>
      </w:r>
      <w:r>
        <w:rPr>
          <w:rFonts w:hint="eastAsia" w:ascii="仿宋" w:hAnsi="仿宋" w:eastAsia="仿宋" w:cs="仿宋"/>
          <w:color w:val="000000" w:themeColor="text1"/>
          <w:sz w:val="20"/>
          <w:szCs w:val="20"/>
          <w:highlight w:val="none"/>
          <w:lang w:eastAsia="zh-CN"/>
          <w14:textFill>
            <w14:solidFill>
              <w14:schemeClr w14:val="tx1"/>
            </w14:solidFill>
          </w14:textFill>
        </w:rPr>
        <w:t>终止</w:t>
      </w:r>
      <w:r>
        <w:rPr>
          <w:rFonts w:hint="eastAsia" w:ascii="仿宋" w:hAnsi="仿宋" w:eastAsia="仿宋" w:cs="仿宋"/>
          <w:color w:val="000000" w:themeColor="text1"/>
          <w:sz w:val="20"/>
          <w:szCs w:val="20"/>
          <w:highlight w:val="none"/>
          <w14:textFill>
            <w14:solidFill>
              <w14:schemeClr w14:val="tx1"/>
            </w14:solidFill>
          </w14:textFill>
        </w:rPr>
        <w:t>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4336636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（3）乙方分立、合并或者变更住所的，应当及时以书面形式告知甲方。乙方没有及时告知甲方，致使合同履行发生困难的，甲方可以中止合同履行并要求乙方承担由此给甲方造成的损失。</w:t>
      </w:r>
    </w:p>
    <w:p w14:paraId="7A5A8F5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（4）甲方不得以行政区划调整、政府换届、机构或者职能调整以及相关责任人更替为由中止合同。</w:t>
      </w:r>
    </w:p>
    <w:p w14:paraId="01BB6E4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16.3合同的终止</w:t>
      </w:r>
    </w:p>
    <w:p w14:paraId="6F3BD0E2">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（1）合同因有效期限届满而终止；</w:t>
      </w:r>
    </w:p>
    <w:p w14:paraId="078CEC5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（2）乙方未按合同约定履行，构成根本性违约的，甲方有权终止合同，并追究乙方的违约责任。</w:t>
      </w:r>
    </w:p>
    <w:p w14:paraId="334D09C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16.4 涉及国家利益、社会公共利益的情形</w:t>
      </w:r>
    </w:p>
    <w:p w14:paraId="582F9781">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政府采购合同继续履行将损害国家利益和社会公共利益的，双方当事人应当变更、中止或者终止合同。有过错的一方应当承担赔偿责任，双方都有过错的，各自承担相应的责任。</w:t>
      </w:r>
    </w:p>
    <w:p w14:paraId="44812EF7">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17. 合同分包</w:t>
      </w:r>
    </w:p>
    <w:p w14:paraId="01B3F51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17.1 乙方不得将合同转包给其他</w:t>
      </w:r>
      <w:r>
        <w:rPr>
          <w:rFonts w:hint="eastAsia" w:ascii="仿宋" w:hAnsi="仿宋" w:eastAsia="仿宋" w:cs="仿宋"/>
          <w:color w:val="000000" w:themeColor="text1"/>
          <w:sz w:val="20"/>
          <w:szCs w:val="20"/>
          <w:highlight w:val="none"/>
          <w:lang w:eastAsia="zh-CN"/>
          <w14:textFill>
            <w14:solidFill>
              <w14:schemeClr w14:val="tx1"/>
            </w14:solidFill>
          </w14:textFill>
        </w:rPr>
        <w:t>供应商</w:t>
      </w:r>
      <w:r>
        <w:rPr>
          <w:rFonts w:hint="eastAsia" w:ascii="仿宋" w:hAnsi="仿宋" w:eastAsia="仿宋" w:cs="仿宋"/>
          <w:color w:val="000000" w:themeColor="text1"/>
          <w:sz w:val="20"/>
          <w:szCs w:val="20"/>
          <w:highlight w:val="none"/>
          <w14:textFill>
            <w14:solidFill>
              <w14:schemeClr w14:val="tx1"/>
            </w14:solidFill>
          </w14:textFill>
        </w:rPr>
        <w:t>。涉及合同分包的，乙方应根据采购文件和投标（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）文件规定进行合同分包。</w:t>
      </w:r>
    </w:p>
    <w:p w14:paraId="1925A0E5">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17.2 乙方执行政府采购政策向中小企业依法分包的，乙方应当按采购文件和投标（</w:t>
      </w:r>
      <w:r>
        <w:rPr>
          <w:rFonts w:hint="eastAsia" w:ascii="仿宋" w:hAnsi="仿宋" w:eastAsia="仿宋" w:cs="仿宋"/>
          <w:color w:val="000000" w:themeColor="text1"/>
          <w:sz w:val="20"/>
          <w:szCs w:val="20"/>
          <w:highlight w:val="none"/>
          <w:lang w:eastAsia="zh-CN"/>
          <w14:textFill>
            <w14:solidFill>
              <w14:schemeClr w14:val="tx1"/>
            </w14:solidFill>
          </w14:textFill>
        </w:rPr>
        <w:t>投标</w:t>
      </w:r>
      <w:r>
        <w:rPr>
          <w:rFonts w:hint="eastAsia" w:ascii="仿宋" w:hAnsi="仿宋" w:eastAsia="仿宋" w:cs="仿宋"/>
          <w:color w:val="000000" w:themeColor="text1"/>
          <w:sz w:val="20"/>
          <w:szCs w:val="20"/>
          <w:highlight w:val="none"/>
          <w14:textFill>
            <w14:solidFill>
              <w14:schemeClr w14:val="tx1"/>
            </w14:solidFill>
          </w14:textFill>
        </w:rPr>
        <w:t>）文件签订分包意向协议，分包意向协议属于本合同组成部分。</w:t>
      </w:r>
    </w:p>
    <w:p w14:paraId="2BA8E338">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18. 不可抗力</w:t>
      </w:r>
    </w:p>
    <w:p w14:paraId="0D90EA2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18.1 不可抗力是指合同双方不能预见、不能避免且不能克服的客观情况。</w:t>
      </w:r>
    </w:p>
    <w:p w14:paraId="09A0C9C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18.2 任何一方对由于不可抗力造成的部分或全部不能履行合同不承担违约责任。但迟延履行后发生不可抗力的，不能免除责任。</w:t>
      </w:r>
    </w:p>
    <w:p w14:paraId="6015EB5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C685900">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19. 解决争议的方法</w:t>
      </w:r>
    </w:p>
    <w:p w14:paraId="34C1E1AA">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19.1 因本合同及合同有关事项发生的争议，由甲乙双方友好协商解决。协商不成时，可以向有关组织申请调解。合同一方或双方不愿调解或调解不成的，可以通过仲裁或诉讼的方式解决争议。</w:t>
      </w:r>
    </w:p>
    <w:p w14:paraId="3F5F406B">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19.2 选择仲裁的，应在【政府采购合同专用条款】中明确仲裁机构及仲裁地；通过诉讼方式解决的，可以在【政府采购合同专用条款】中进一步约定选择与争议有实际联系的地点的人民法院管辖，但管辖法院的约定不得违反级别管辖和专属管辖的规定。</w:t>
      </w:r>
    </w:p>
    <w:p w14:paraId="4EA4D349">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19.3 如甲乙双方有争议的事项不影响合同其他部分的履行，在争议解决期间，合同其他部分应当继续履行。</w:t>
      </w:r>
    </w:p>
    <w:p w14:paraId="2D76FAA0">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20. 政府采购政策</w:t>
      </w:r>
    </w:p>
    <w:p w14:paraId="77D9091E">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20.1 本合同应当按照规定执行政府采购政策。</w:t>
      </w:r>
    </w:p>
    <w:p w14:paraId="22675796">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2475DD7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23B77E6">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21. 法律适用</w:t>
      </w:r>
    </w:p>
    <w:p w14:paraId="61746E3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21.1 本合同的订立、生效、解释、履行及与本合同有关的争议解决，均适用法律、行政法规。</w:t>
      </w:r>
    </w:p>
    <w:p w14:paraId="5A86969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21.2 本合同条款与法律、行政法规的强制性规定不一致的，双方当事人应按照法律、行政法规的强制性规定修改本合同的相关条款。</w:t>
      </w:r>
    </w:p>
    <w:p w14:paraId="418DADEB">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22. 通知</w:t>
      </w:r>
    </w:p>
    <w:p w14:paraId="7656093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22.1 本合同任何一方向对方发出的通知、信件、数据电文等，应当发送至本合同第一部分《政府采购合同协议书》所约定的通讯地址、联系人、联系电话或电子邮箱。</w:t>
      </w:r>
    </w:p>
    <w:p w14:paraId="38AE58E8">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22.2 一方当事人变更名称、住所、联系人、联系电话或电子邮箱等信息的，应当在变更后3日内及时书面通知对方，对方实际收到变更通知前的送达仍为有效送达。</w:t>
      </w:r>
    </w:p>
    <w:p w14:paraId="44AC16A6">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22.3本合同一方给另一方的通知均应采用书面形式，传真或快递送到本合同中规定的对方的地址和办理签收手续。</w:t>
      </w:r>
    </w:p>
    <w:p w14:paraId="63187179">
      <w:pPr>
        <w:spacing w:line="36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22.4通知以送达之日或通知书中规定的生效之日起生效，两者中以较迟之日为准。</w:t>
      </w:r>
    </w:p>
    <w:p w14:paraId="290FEC0F">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23. 合同未尽事项</w:t>
      </w:r>
    </w:p>
    <w:p w14:paraId="1D21011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23.1合同未尽事项见【政府采购合同专用条款】。</w:t>
      </w:r>
    </w:p>
    <w:p w14:paraId="5EEFDC5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23.2 合同附件与合同正文具有同等的法律效力。</w:t>
      </w:r>
    </w:p>
    <w:p w14:paraId="5EED24D8">
      <w:pPr>
        <w:spacing w:line="360" w:lineRule="auto"/>
        <w:jc w:val="center"/>
        <w:rPr>
          <w:rFonts w:hint="eastAsia" w:ascii="仿宋" w:hAnsi="仿宋" w:eastAsia="仿宋" w:cs="仿宋"/>
          <w:b/>
          <w:color w:val="000000" w:themeColor="text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b/>
          <w:color w:val="000000" w:themeColor="text1"/>
          <w:szCs w:val="21"/>
          <w:highlight w:val="none"/>
          <w14:textFill>
            <w14:solidFill>
              <w14:schemeClr w14:val="tx1"/>
            </w14:solidFill>
          </w14:textFill>
        </w:rPr>
        <w:t>第三节 政府采购</w:t>
      </w:r>
      <w:r>
        <w:rPr>
          <w:rFonts w:hint="eastAsia" w:ascii="仿宋" w:hAnsi="仿宋" w:eastAsia="仿宋" w:cs="仿宋"/>
          <w:b/>
          <w:color w:val="000000" w:themeColor="text1"/>
          <w:szCs w:val="21"/>
          <w:highlight w:val="none"/>
          <w:lang w:eastAsia="zh-CN"/>
          <w14:textFill>
            <w14:solidFill>
              <w14:schemeClr w14:val="tx1"/>
            </w14:solidFill>
          </w14:textFill>
        </w:rPr>
        <w:t>合同</w:t>
      </w:r>
      <w:r>
        <w:rPr>
          <w:rFonts w:hint="eastAsia" w:ascii="仿宋" w:hAnsi="仿宋" w:eastAsia="仿宋" w:cs="仿宋"/>
          <w:b/>
          <w:color w:val="000000" w:themeColor="text1"/>
          <w:szCs w:val="21"/>
          <w:highlight w:val="none"/>
          <w14:textFill>
            <w14:solidFill>
              <w14:schemeClr w14:val="tx1"/>
            </w14:solidFill>
          </w14:textFill>
        </w:rPr>
        <w:t>专用条款</w:t>
      </w:r>
    </w:p>
    <w:tbl>
      <w:tblPr>
        <w:tblStyle w:val="7"/>
        <w:tblW w:w="920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8"/>
        <w:gridCol w:w="2220"/>
        <w:gridCol w:w="5379"/>
      </w:tblGrid>
      <w:tr w14:paraId="3CD5F3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7832683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901CB6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第1.2（6）项</w:t>
            </w:r>
          </w:p>
        </w:tc>
        <w:tc>
          <w:tcPr>
            <w:tcW w:w="2220" w:type="dxa"/>
            <w:vAlign w:val="center"/>
          </w:tcPr>
          <w:p w14:paraId="7B5EB44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联合体具体要求</w:t>
            </w:r>
          </w:p>
        </w:tc>
        <w:tc>
          <w:tcPr>
            <w:tcW w:w="5379" w:type="dxa"/>
            <w:vAlign w:val="center"/>
          </w:tcPr>
          <w:p w14:paraId="15763C3F">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w:t>
            </w:r>
          </w:p>
        </w:tc>
      </w:tr>
      <w:tr w14:paraId="64339C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8" w:type="dxa"/>
            <w:vAlign w:val="center"/>
          </w:tcPr>
          <w:p w14:paraId="40E6F38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BE7819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第1.2（7）项</w:t>
            </w:r>
          </w:p>
        </w:tc>
        <w:tc>
          <w:tcPr>
            <w:tcW w:w="2220" w:type="dxa"/>
            <w:vAlign w:val="center"/>
          </w:tcPr>
          <w:p w14:paraId="53808B2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其他术语解释</w:t>
            </w:r>
          </w:p>
        </w:tc>
        <w:tc>
          <w:tcPr>
            <w:tcW w:w="5379" w:type="dxa"/>
            <w:vAlign w:val="center"/>
          </w:tcPr>
          <w:p w14:paraId="242194D6">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7E1914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30CC79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A14017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第4.4款</w:t>
            </w:r>
          </w:p>
        </w:tc>
        <w:tc>
          <w:tcPr>
            <w:tcW w:w="2220" w:type="dxa"/>
            <w:vAlign w:val="center"/>
          </w:tcPr>
          <w:p w14:paraId="4E5A8B2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履约验收中甲方提出异议或作出说明的期限</w:t>
            </w:r>
          </w:p>
        </w:tc>
        <w:tc>
          <w:tcPr>
            <w:tcW w:w="5379" w:type="dxa"/>
            <w:vAlign w:val="center"/>
          </w:tcPr>
          <w:p w14:paraId="6C62F59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验收后</w:t>
            </w:r>
            <w:r>
              <w:rPr>
                <w:rFonts w:hint="eastAsia" w:ascii="仿宋" w:hAnsi="仿宋" w:eastAsia="仿宋" w:cs="仿宋"/>
                <w:color w:val="000000" w:themeColor="text1"/>
                <w:sz w:val="20"/>
                <w:szCs w:val="20"/>
                <w:highlight w:val="none"/>
                <w:lang w:val="en-US" w:eastAsia="zh-CN"/>
                <w14:textFill>
                  <w14:solidFill>
                    <w14:schemeClr w14:val="tx1"/>
                  </w14:solidFill>
                </w14:textFill>
              </w:rPr>
              <w:t>7</w:t>
            </w:r>
            <w:r>
              <w:rPr>
                <w:rFonts w:hint="eastAsia" w:ascii="仿宋" w:hAnsi="仿宋" w:eastAsia="仿宋" w:cs="仿宋"/>
                <w:color w:val="000000" w:themeColor="text1"/>
                <w:sz w:val="20"/>
                <w:szCs w:val="20"/>
                <w:highlight w:val="none"/>
                <w14:textFill>
                  <w14:solidFill>
                    <w14:schemeClr w14:val="tx1"/>
                  </w14:solidFill>
                </w14:textFill>
              </w:rPr>
              <w:t>日内</w:t>
            </w:r>
          </w:p>
        </w:tc>
      </w:tr>
      <w:tr w14:paraId="7AF3AC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3123972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E33E40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第4.6款</w:t>
            </w:r>
          </w:p>
        </w:tc>
        <w:tc>
          <w:tcPr>
            <w:tcW w:w="2220" w:type="dxa"/>
            <w:vAlign w:val="center"/>
          </w:tcPr>
          <w:p w14:paraId="02FEE9A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约定甲方承担的其他义务和责任</w:t>
            </w:r>
          </w:p>
        </w:tc>
        <w:tc>
          <w:tcPr>
            <w:tcW w:w="5379" w:type="dxa"/>
            <w:vAlign w:val="center"/>
          </w:tcPr>
          <w:p w14:paraId="4A52ABC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0CDC5E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7262E07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386CD3D2">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第5.4款</w:t>
            </w:r>
          </w:p>
        </w:tc>
        <w:tc>
          <w:tcPr>
            <w:tcW w:w="2220" w:type="dxa"/>
            <w:vAlign w:val="center"/>
          </w:tcPr>
          <w:p w14:paraId="6738D3B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约定乙方承担的其他义务和责任</w:t>
            </w:r>
          </w:p>
        </w:tc>
        <w:tc>
          <w:tcPr>
            <w:tcW w:w="5379" w:type="dxa"/>
            <w:vAlign w:val="center"/>
          </w:tcPr>
          <w:p w14:paraId="376D9BC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5B46FC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649FA0E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3B4A38F">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第6.1款</w:t>
            </w:r>
          </w:p>
        </w:tc>
        <w:tc>
          <w:tcPr>
            <w:tcW w:w="2220" w:type="dxa"/>
            <w:vAlign w:val="center"/>
          </w:tcPr>
          <w:p w14:paraId="18BA4FA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履行合同义务的顺序</w:t>
            </w:r>
          </w:p>
        </w:tc>
        <w:tc>
          <w:tcPr>
            <w:tcW w:w="5379" w:type="dxa"/>
            <w:vAlign w:val="center"/>
          </w:tcPr>
          <w:p w14:paraId="68019B85">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1230CB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restart"/>
            <w:vAlign w:val="center"/>
          </w:tcPr>
          <w:p w14:paraId="6D29EF9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C8B49E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第7.1款</w:t>
            </w:r>
          </w:p>
        </w:tc>
        <w:tc>
          <w:tcPr>
            <w:tcW w:w="2220" w:type="dxa"/>
            <w:vAlign w:val="center"/>
          </w:tcPr>
          <w:p w14:paraId="13C3E9E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包装特殊要求</w:t>
            </w:r>
          </w:p>
        </w:tc>
        <w:tc>
          <w:tcPr>
            <w:tcW w:w="5379" w:type="dxa"/>
            <w:vAlign w:val="center"/>
          </w:tcPr>
          <w:p w14:paraId="31CBC02D">
            <w:pPr>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p>
        </w:tc>
      </w:tr>
      <w:tr w14:paraId="0116E6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Merge w:val="continue"/>
            <w:vAlign w:val="center"/>
          </w:tcPr>
          <w:p w14:paraId="14660A5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p>
        </w:tc>
        <w:tc>
          <w:tcPr>
            <w:tcW w:w="2220" w:type="dxa"/>
            <w:vAlign w:val="center"/>
          </w:tcPr>
          <w:p w14:paraId="0DD57FA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指定现场</w:t>
            </w:r>
          </w:p>
        </w:tc>
        <w:tc>
          <w:tcPr>
            <w:tcW w:w="5379" w:type="dxa"/>
            <w:vAlign w:val="center"/>
          </w:tcPr>
          <w:p w14:paraId="7C298790">
            <w:pP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采购人指定地点</w:t>
            </w:r>
          </w:p>
        </w:tc>
      </w:tr>
      <w:tr w14:paraId="09BD8F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8" w:type="dxa"/>
            <w:vAlign w:val="center"/>
          </w:tcPr>
          <w:p w14:paraId="14F2DAC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D7BB09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第7.2款</w:t>
            </w:r>
          </w:p>
        </w:tc>
        <w:tc>
          <w:tcPr>
            <w:tcW w:w="2220" w:type="dxa"/>
            <w:vAlign w:val="center"/>
          </w:tcPr>
          <w:p w14:paraId="7673D3C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运输特殊要求</w:t>
            </w:r>
          </w:p>
        </w:tc>
        <w:tc>
          <w:tcPr>
            <w:tcW w:w="5379" w:type="dxa"/>
            <w:vAlign w:val="center"/>
          </w:tcPr>
          <w:p w14:paraId="54233DE1">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1.乙方负责所有产品的运输，确保采购产品安全、完整到达甲方指定地点。运杂费用包含在合同总价内，包括从产品供应地点所含的运输费、装卸费、仓储费、保险费等。</w:t>
            </w:r>
          </w:p>
          <w:p w14:paraId="629A1CA2">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2.运输方式由乙方自行选择，但必须保证按期交货</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所</w:t>
            </w:r>
            <w:r>
              <w:rPr>
                <w:rFonts w:hint="eastAsia" w:ascii="仿宋" w:hAnsi="仿宋" w:eastAsia="仿宋" w:cs="仿宋"/>
                <w:color w:val="000000" w:themeColor="text1"/>
                <w:sz w:val="20"/>
                <w:szCs w:val="20"/>
                <w:highlight w:val="none"/>
                <w:lang w:val="en-US" w:eastAsia="zh-CN"/>
                <w14:textFill>
                  <w14:solidFill>
                    <w14:schemeClr w14:val="tx1"/>
                  </w14:solidFill>
                </w14:textFill>
              </w:rPr>
              <w:t>有</w:t>
            </w:r>
            <w:r>
              <w:rPr>
                <w:rFonts w:hint="eastAsia" w:ascii="仿宋" w:hAnsi="仿宋" w:eastAsia="仿宋" w:cs="仿宋"/>
                <w:color w:val="000000" w:themeColor="text1"/>
                <w:sz w:val="20"/>
                <w:szCs w:val="20"/>
                <w:highlight w:val="none"/>
                <w14:textFill>
                  <w14:solidFill>
                    <w14:schemeClr w14:val="tx1"/>
                  </w14:solidFill>
                </w14:textFill>
              </w:rPr>
              <w:t>采购货物在运输、搬运的过程中，造成甲方损失的，由乙方为甲方免费更换。</w:t>
            </w:r>
          </w:p>
        </w:tc>
      </w:tr>
      <w:tr w14:paraId="09FD3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8" w:type="dxa"/>
            <w:vAlign w:val="center"/>
          </w:tcPr>
          <w:p w14:paraId="5226573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17B799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第7.3款</w:t>
            </w:r>
          </w:p>
        </w:tc>
        <w:tc>
          <w:tcPr>
            <w:tcW w:w="2220" w:type="dxa"/>
            <w:vAlign w:val="center"/>
          </w:tcPr>
          <w:p w14:paraId="6668FF6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保险要求</w:t>
            </w:r>
          </w:p>
        </w:tc>
        <w:tc>
          <w:tcPr>
            <w:tcW w:w="5379" w:type="dxa"/>
            <w:vAlign w:val="center"/>
          </w:tcPr>
          <w:p w14:paraId="5A06EB58">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有关运输和保险的一切费用由乙方承担</w:t>
            </w:r>
          </w:p>
        </w:tc>
      </w:tr>
      <w:tr w14:paraId="0F906D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80C7DD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5274BD0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第8.2（1）项</w:t>
            </w:r>
          </w:p>
        </w:tc>
        <w:tc>
          <w:tcPr>
            <w:tcW w:w="2220" w:type="dxa"/>
            <w:vAlign w:val="center"/>
          </w:tcPr>
          <w:p w14:paraId="68DA285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质量保证期</w:t>
            </w:r>
          </w:p>
        </w:tc>
        <w:tc>
          <w:tcPr>
            <w:tcW w:w="5379" w:type="dxa"/>
            <w:vAlign w:val="center"/>
          </w:tcPr>
          <w:p w14:paraId="11A73542">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1.乙方须提供全新的、未使用过的合格正品货物（含零部件、配件等），完全符合合同规定的质量、规格和性能的要求。</w:t>
            </w:r>
          </w:p>
          <w:p w14:paraId="760211FB">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2.乙方提供的节能和环保产品必须是列入节能、环保标志产品品目清单中的产品。</w:t>
            </w:r>
          </w:p>
          <w:p w14:paraId="093B7ED8">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3.质量标准按照最新颁布的国家标准、行业标准或制造商企业标准确定，上述标准不一致的，以严格标准为准。</w:t>
            </w:r>
          </w:p>
          <w:p w14:paraId="0D6B843F">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4.乙方所提供货物还应符合国家和陕西省有关安全、环保、节能之规定，“3C”认证的货物（产品）应加贴“3C”认证标志。</w:t>
            </w:r>
          </w:p>
          <w:p w14:paraId="0DC2BF2F">
            <w:pPr>
              <w:tabs>
                <w:tab w:val="left" w:pos="312"/>
              </w:tabs>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5.货物制造质量出现问题，乙方应负责三包（包修、包换、包退），费用由乙方负担，甲方有权到乙方生产场地检查货物质量和生产进度。</w:t>
            </w:r>
          </w:p>
          <w:p w14:paraId="0C200BED">
            <w:pPr>
              <w:autoSpaceDE w:val="0"/>
              <w:autoSpaceDN w:val="0"/>
              <w:adjustRightInd w:val="0"/>
              <w:snapToGrid w:val="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6.产品质量保证期和售后服务期：从验收合格之</w:t>
            </w:r>
            <w:r>
              <w:rPr>
                <w:rFonts w:hint="eastAsia" w:ascii="仿宋" w:hAnsi="仿宋" w:eastAsia="仿宋" w:cs="仿宋"/>
                <w:color w:val="000000" w:themeColor="text1"/>
                <w:sz w:val="20"/>
                <w:szCs w:val="20"/>
                <w:highlight w:val="none"/>
                <w:lang w:eastAsia="zh-CN"/>
                <w14:textFill>
                  <w14:solidFill>
                    <w14:schemeClr w14:val="tx1"/>
                  </w14:solidFill>
                </w14:textFill>
              </w:rPr>
              <w:t>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个月。</w:t>
            </w:r>
          </w:p>
        </w:tc>
      </w:tr>
      <w:tr w14:paraId="39A41F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1BF53B4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CED5EB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第8.2（3）项</w:t>
            </w:r>
          </w:p>
        </w:tc>
        <w:tc>
          <w:tcPr>
            <w:tcW w:w="2220" w:type="dxa"/>
            <w:vAlign w:val="center"/>
          </w:tcPr>
          <w:p w14:paraId="2A10860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货物质量缺陷</w:t>
            </w:r>
          </w:p>
          <w:p w14:paraId="4D9376DD">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响应时间</w:t>
            </w:r>
          </w:p>
        </w:tc>
        <w:tc>
          <w:tcPr>
            <w:tcW w:w="5379" w:type="dxa"/>
            <w:vAlign w:val="center"/>
          </w:tcPr>
          <w:p w14:paraId="1B57BA49">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发现质量缺陷24小时内做出响应并提供解决方案</w:t>
            </w:r>
          </w:p>
        </w:tc>
      </w:tr>
      <w:tr w14:paraId="7B2D9A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D27C667">
            <w:pPr>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78CD3650">
            <w:pPr>
              <w:pStyle w:val="9"/>
              <w:ind w:firstLine="0" w:firstLineChars="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第11.1款</w:t>
            </w:r>
          </w:p>
        </w:tc>
        <w:tc>
          <w:tcPr>
            <w:tcW w:w="2220" w:type="dxa"/>
            <w:vAlign w:val="center"/>
          </w:tcPr>
          <w:p w14:paraId="4258E11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其他应当保密的信息</w:t>
            </w:r>
          </w:p>
        </w:tc>
        <w:tc>
          <w:tcPr>
            <w:tcW w:w="5379" w:type="dxa"/>
            <w:vAlign w:val="center"/>
          </w:tcPr>
          <w:p w14:paraId="64C4AEB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4D626E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8" w:type="dxa"/>
            <w:vAlign w:val="center"/>
          </w:tcPr>
          <w:p w14:paraId="0BEB724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880249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第12.2款</w:t>
            </w:r>
          </w:p>
        </w:tc>
        <w:tc>
          <w:tcPr>
            <w:tcW w:w="2220" w:type="dxa"/>
            <w:vAlign w:val="center"/>
          </w:tcPr>
          <w:p w14:paraId="35820E1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合同价款支付时间</w:t>
            </w:r>
          </w:p>
        </w:tc>
        <w:tc>
          <w:tcPr>
            <w:tcW w:w="5379" w:type="dxa"/>
            <w:vAlign w:val="center"/>
          </w:tcPr>
          <w:p w14:paraId="64A0DAA9">
            <w:pPr>
              <w:pStyle w:val="12"/>
              <w:rPr>
                <w:rFonts w:hint="eastAsia" w:ascii="仿宋" w:hAnsi="仿宋" w:eastAsia="仿宋" w:cs="仿宋"/>
                <w:color w:val="000000" w:themeColor="text1"/>
                <w:sz w:val="20"/>
                <w:szCs w:val="20"/>
                <w:highlight w:val="none"/>
                <w14:textFill>
                  <w14:solidFill>
                    <w14:schemeClr w14:val="tx1"/>
                  </w14:solidFill>
                </w14:textFill>
              </w:rPr>
            </w:pPr>
            <w:bookmarkStart w:id="0" w:name="_GoBack"/>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_GB2312" w:hAnsi="仿宋_GB2312" w:eastAsia="仿宋_GB2312" w:cs="仿宋_GB2312"/>
                <w:highlight w:val="none"/>
              </w:rPr>
              <w:t>所有货物交货完成，验收合格，达到付款条件起 30 日内，支付合同总金额的 100.00%。</w:t>
            </w:r>
          </w:p>
          <w:bookmarkEnd w:id="0"/>
          <w:p w14:paraId="1BBD768D">
            <w:pPr>
              <w:pStyle w:val="3"/>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7F5FBE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9" w:hRule="atLeast"/>
          <w:jc w:val="center"/>
        </w:trPr>
        <w:tc>
          <w:tcPr>
            <w:tcW w:w="1608" w:type="dxa"/>
            <w:vAlign w:val="center"/>
          </w:tcPr>
          <w:p w14:paraId="0E30199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740098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第13.2款</w:t>
            </w:r>
          </w:p>
        </w:tc>
        <w:tc>
          <w:tcPr>
            <w:tcW w:w="2220" w:type="dxa"/>
            <w:vAlign w:val="center"/>
          </w:tcPr>
          <w:p w14:paraId="62C95EF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履约保证金不予退还的情形</w:t>
            </w:r>
          </w:p>
        </w:tc>
        <w:tc>
          <w:tcPr>
            <w:tcW w:w="5379" w:type="dxa"/>
            <w:vAlign w:val="center"/>
          </w:tcPr>
          <w:p w14:paraId="761B703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404454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0E720E4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2D8442D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第13.3款</w:t>
            </w:r>
          </w:p>
        </w:tc>
        <w:tc>
          <w:tcPr>
            <w:tcW w:w="2220" w:type="dxa"/>
            <w:vAlign w:val="center"/>
          </w:tcPr>
          <w:p w14:paraId="01D5100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履约保证金退还时间及逾期退还的违约金</w:t>
            </w:r>
          </w:p>
        </w:tc>
        <w:tc>
          <w:tcPr>
            <w:tcW w:w="5379" w:type="dxa"/>
            <w:vAlign w:val="center"/>
          </w:tcPr>
          <w:p w14:paraId="3553AE4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tc>
      </w:tr>
      <w:tr w14:paraId="0BD296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608" w:type="dxa"/>
            <w:vAlign w:val="center"/>
          </w:tcPr>
          <w:p w14:paraId="15AC2AA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6BC2AE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第14.1（3）项</w:t>
            </w:r>
          </w:p>
        </w:tc>
        <w:tc>
          <w:tcPr>
            <w:tcW w:w="2220" w:type="dxa"/>
            <w:vAlign w:val="center"/>
          </w:tcPr>
          <w:p w14:paraId="6AD768E5">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运行监督、维修期限</w:t>
            </w:r>
          </w:p>
        </w:tc>
        <w:tc>
          <w:tcPr>
            <w:tcW w:w="5379" w:type="dxa"/>
            <w:vAlign w:val="center"/>
          </w:tcPr>
          <w:p w14:paraId="4BBCAB3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139C9C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608" w:type="dxa"/>
            <w:vAlign w:val="center"/>
          </w:tcPr>
          <w:p w14:paraId="7A9E9D8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6B2413F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第14.1（5）项</w:t>
            </w:r>
          </w:p>
        </w:tc>
        <w:tc>
          <w:tcPr>
            <w:tcW w:w="2220" w:type="dxa"/>
            <w:vAlign w:val="center"/>
          </w:tcPr>
          <w:p w14:paraId="029B24BE">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货物回收的约定</w:t>
            </w:r>
          </w:p>
        </w:tc>
        <w:tc>
          <w:tcPr>
            <w:tcW w:w="5379" w:type="dxa"/>
            <w:vAlign w:val="center"/>
          </w:tcPr>
          <w:p w14:paraId="3AD20FB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发现质量缺陷对应货物回收并重新发货</w:t>
            </w:r>
          </w:p>
        </w:tc>
      </w:tr>
      <w:tr w14:paraId="1CF2B7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0" w:hRule="atLeast"/>
          <w:jc w:val="center"/>
        </w:trPr>
        <w:tc>
          <w:tcPr>
            <w:tcW w:w="1608" w:type="dxa"/>
            <w:vAlign w:val="center"/>
          </w:tcPr>
          <w:p w14:paraId="027342B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172C02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第14.1（6）项</w:t>
            </w:r>
          </w:p>
        </w:tc>
        <w:tc>
          <w:tcPr>
            <w:tcW w:w="2220" w:type="dxa"/>
            <w:vAlign w:val="center"/>
          </w:tcPr>
          <w:p w14:paraId="6C90928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乙方提供的其他服务</w:t>
            </w:r>
          </w:p>
        </w:tc>
        <w:tc>
          <w:tcPr>
            <w:tcW w:w="5379" w:type="dxa"/>
            <w:vAlign w:val="center"/>
          </w:tcPr>
          <w:p w14:paraId="1E65557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12DC68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9" w:hRule="atLeast"/>
          <w:jc w:val="center"/>
        </w:trPr>
        <w:tc>
          <w:tcPr>
            <w:tcW w:w="1608" w:type="dxa"/>
            <w:vAlign w:val="center"/>
          </w:tcPr>
          <w:p w14:paraId="21089FE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4F609EDB">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第15.1款</w:t>
            </w:r>
          </w:p>
        </w:tc>
        <w:tc>
          <w:tcPr>
            <w:tcW w:w="2220" w:type="dxa"/>
            <w:vAlign w:val="center"/>
          </w:tcPr>
          <w:p w14:paraId="2B0B1004">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修理、重</w:t>
            </w:r>
            <w:r>
              <w:rPr>
                <w:rFonts w:hint="eastAsia" w:ascii="仿宋" w:hAnsi="仿宋" w:eastAsia="仿宋" w:cs="仿宋"/>
                <w:color w:val="000000" w:themeColor="text1"/>
                <w:sz w:val="20"/>
                <w:szCs w:val="20"/>
                <w:highlight w:val="none"/>
                <w:lang w:eastAsia="zh-CN"/>
                <w14:textFill>
                  <w14:solidFill>
                    <w14:schemeClr w14:val="tx1"/>
                  </w14:solidFill>
                </w14:textFill>
              </w:rPr>
              <w:t>做</w:t>
            </w:r>
            <w:r>
              <w:rPr>
                <w:rFonts w:hint="eastAsia" w:ascii="仿宋" w:hAnsi="仿宋" w:eastAsia="仿宋" w:cs="仿宋"/>
                <w:color w:val="000000" w:themeColor="text1"/>
                <w:sz w:val="20"/>
                <w:szCs w:val="20"/>
                <w:highlight w:val="none"/>
                <w14:textFill>
                  <w14:solidFill>
                    <w14:schemeClr w14:val="tx1"/>
                  </w14:solidFill>
                </w14:textFill>
              </w:rPr>
              <w:t>、更换相关具体规定</w:t>
            </w:r>
          </w:p>
        </w:tc>
        <w:tc>
          <w:tcPr>
            <w:tcW w:w="5379" w:type="dxa"/>
            <w:vAlign w:val="center"/>
          </w:tcPr>
          <w:p w14:paraId="516679DF">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p>
        </w:tc>
      </w:tr>
      <w:tr w14:paraId="661F8E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8" w:type="dxa"/>
            <w:vAlign w:val="center"/>
          </w:tcPr>
          <w:p w14:paraId="51F767B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E24C5E9">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第15.2（2）项</w:t>
            </w:r>
          </w:p>
        </w:tc>
        <w:tc>
          <w:tcPr>
            <w:tcW w:w="2220" w:type="dxa"/>
            <w:vAlign w:val="center"/>
          </w:tcPr>
          <w:p w14:paraId="199282D8">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迟延交货赔偿费</w:t>
            </w:r>
          </w:p>
        </w:tc>
        <w:tc>
          <w:tcPr>
            <w:tcW w:w="5379" w:type="dxa"/>
            <w:vAlign w:val="center"/>
          </w:tcPr>
          <w:p w14:paraId="426E89E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乙方逾期交货的，每逾期一日按合同价款的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‰向甲方支付违约金。逾期达</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日，甲方有权解除合同，乙方应按合同的价款的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10 </w:t>
            </w:r>
            <w:r>
              <w:rPr>
                <w:rFonts w:hint="eastAsia" w:ascii="仿宋" w:hAnsi="仿宋" w:eastAsia="仿宋" w:cs="仿宋"/>
                <w:color w:val="000000" w:themeColor="text1"/>
                <w:sz w:val="20"/>
                <w:szCs w:val="20"/>
                <w:highlight w:val="none"/>
                <w14:textFill>
                  <w14:solidFill>
                    <w14:schemeClr w14:val="tx1"/>
                  </w14:solidFill>
                </w14:textFill>
              </w:rPr>
              <w:t>%向甲方支付违约金，并赔偿由此给甲方造成的相关经济损失。</w:t>
            </w:r>
          </w:p>
        </w:tc>
      </w:tr>
      <w:tr w14:paraId="0C0370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47" w:hRule="atLeast"/>
          <w:jc w:val="center"/>
        </w:trPr>
        <w:tc>
          <w:tcPr>
            <w:tcW w:w="1608" w:type="dxa"/>
            <w:vAlign w:val="center"/>
          </w:tcPr>
          <w:p w14:paraId="2A3D154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104B33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第15.3款</w:t>
            </w:r>
          </w:p>
        </w:tc>
        <w:tc>
          <w:tcPr>
            <w:tcW w:w="2220" w:type="dxa"/>
            <w:vAlign w:val="center"/>
          </w:tcPr>
          <w:p w14:paraId="1A640342">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逾期付款利息</w:t>
            </w:r>
          </w:p>
        </w:tc>
        <w:tc>
          <w:tcPr>
            <w:tcW w:w="5379" w:type="dxa"/>
            <w:vAlign w:val="center"/>
          </w:tcPr>
          <w:p w14:paraId="3506715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因甲方所有的付款均需财政部门审批，本合同履行期间，非因甲方故意拖延付款申请流程造成的逾期付款的，乙方对此予以谅解不得追究甲方的逾期付款责任。</w:t>
            </w:r>
          </w:p>
        </w:tc>
      </w:tr>
      <w:tr w14:paraId="43BC31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44" w:hRule="atLeast"/>
          <w:jc w:val="center"/>
        </w:trPr>
        <w:tc>
          <w:tcPr>
            <w:tcW w:w="1608" w:type="dxa"/>
            <w:tcBorders>
              <w:bottom w:val="single" w:color="auto" w:sz="2" w:space="0"/>
              <w:right w:val="single" w:color="auto" w:sz="2" w:space="0"/>
            </w:tcBorders>
            <w:vAlign w:val="center"/>
          </w:tcPr>
          <w:p w14:paraId="7F80B537">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18AD8CD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第15.4款</w:t>
            </w:r>
          </w:p>
        </w:tc>
        <w:tc>
          <w:tcPr>
            <w:tcW w:w="2220" w:type="dxa"/>
            <w:tcBorders>
              <w:left w:val="single" w:color="auto" w:sz="2" w:space="0"/>
              <w:bottom w:val="single" w:color="auto" w:sz="2" w:space="0"/>
              <w:right w:val="single" w:color="auto" w:sz="2" w:space="0"/>
            </w:tcBorders>
            <w:vAlign w:val="center"/>
          </w:tcPr>
          <w:p w14:paraId="2D83F8B6">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其他违约责任</w:t>
            </w:r>
          </w:p>
        </w:tc>
        <w:tc>
          <w:tcPr>
            <w:tcW w:w="5379" w:type="dxa"/>
            <w:tcBorders>
              <w:left w:val="single" w:color="auto" w:sz="2" w:space="0"/>
              <w:bottom w:val="single" w:color="auto" w:sz="2" w:space="0"/>
            </w:tcBorders>
            <w:vAlign w:val="center"/>
          </w:tcPr>
          <w:p w14:paraId="2C9FDE03">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1.乙方违约责任</w:t>
            </w:r>
          </w:p>
          <w:p w14:paraId="6B57AF14">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（1）如乙方不能交付货物，同时乙方应向甲方支付合同总价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21FF533C">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（2）乙方逾期交付货物的，每逾期1天，乙方向甲方偿付逾期交货部分货款总额的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‰的滞纳金。如乙方逾期交货达_7__天，甲方有权解除合同，解除合同的通知自到达乙方时生效；</w:t>
            </w:r>
          </w:p>
          <w:p w14:paraId="10B2CAD3">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 </w:t>
            </w:r>
            <w:r>
              <w:rPr>
                <w:rFonts w:hint="eastAsia" w:ascii="仿宋" w:hAnsi="仿宋" w:eastAsia="仿宋" w:cs="仿宋"/>
                <w:color w:val="000000" w:themeColor="text1"/>
                <w:sz w:val="20"/>
                <w:szCs w:val="20"/>
                <w:highlight w:val="none"/>
                <w14:textFill>
                  <w14:solidFill>
                    <w14:schemeClr w14:val="tx1"/>
                  </w14:solidFill>
                </w14:textFill>
              </w:rPr>
              <w:t>%的违约金；</w:t>
            </w:r>
          </w:p>
          <w:p w14:paraId="269CEE8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 </w:t>
            </w:r>
            <w:r>
              <w:rPr>
                <w:rFonts w:hint="eastAsia" w:ascii="仿宋" w:hAnsi="仿宋" w:eastAsia="仿宋" w:cs="仿宋"/>
                <w:color w:val="000000" w:themeColor="text1"/>
                <w:sz w:val="20"/>
                <w:szCs w:val="20"/>
                <w:highlight w:val="none"/>
                <w14:textFill>
                  <w14:solidFill>
                    <w14:schemeClr w14:val="tx1"/>
                  </w14:solidFill>
                </w14:textFill>
              </w:rPr>
              <w:t>天内无条件更换合格的货物，如逾期不能更换合格的货物，甲方有权终止本合同，乙方应另向甲方支付货款总额的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2</w:t>
            </w:r>
            <w:r>
              <w:rPr>
                <w:rFonts w:hint="eastAsia" w:ascii="仿宋" w:hAnsi="仿宋" w:eastAsia="仿宋" w:cs="仿宋"/>
                <w:color w:val="000000" w:themeColor="text1"/>
                <w:sz w:val="20"/>
                <w:szCs w:val="20"/>
                <w:highlight w:val="none"/>
                <w14:textFill>
                  <w14:solidFill>
                    <w14:schemeClr w14:val="tx1"/>
                  </w14:solidFill>
                </w14:textFill>
              </w:rPr>
              <w:t xml:space="preserve"> %的违约金；</w:t>
            </w:r>
          </w:p>
          <w:p w14:paraId="53BDB10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24712F7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（6）乙方未按本合同的规定和“服务承诺”提供伴随服务/售后服务的，应按合同总价款的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5</w:t>
            </w:r>
            <w:r>
              <w:rPr>
                <w:rFonts w:hint="eastAsia" w:ascii="仿宋" w:hAnsi="仿宋" w:eastAsia="仿宋" w:cs="仿宋"/>
                <w:color w:val="000000" w:themeColor="text1"/>
                <w:sz w:val="20"/>
                <w:szCs w:val="20"/>
                <w:highlight w:val="none"/>
                <w14:textFill>
                  <w14:solidFill>
                    <w14:schemeClr w14:val="tx1"/>
                  </w14:solidFill>
                </w14:textFill>
              </w:rPr>
              <w:t xml:space="preserve"> %向甲方承担违约责任；</w:t>
            </w:r>
          </w:p>
          <w:p w14:paraId="68A6D5E1">
            <w:pPr>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7</w:t>
            </w: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合同履约过程中，乙方提供的货物无法满足使用需求，视为虚假响应；</w:t>
            </w:r>
            <w:r>
              <w:rPr>
                <w:rFonts w:hint="eastAsia" w:ascii="仿宋" w:hAnsi="仿宋" w:eastAsia="仿宋" w:cs="仿宋"/>
                <w:color w:val="000000" w:themeColor="text1"/>
                <w:kern w:val="0"/>
                <w:sz w:val="20"/>
                <w:szCs w:val="20"/>
                <w:highlight w:val="none"/>
                <w:u w:val="none"/>
                <w14:textFill>
                  <w14:solidFill>
                    <w14:schemeClr w14:val="tx1"/>
                  </w14:solidFill>
                </w14:textFill>
              </w:rPr>
              <w:t>为保证货物（软件和硬件）质量功能的严谨性，成交后</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甲方有权</w:t>
            </w:r>
            <w:r>
              <w:rPr>
                <w:rFonts w:hint="eastAsia" w:ascii="仿宋" w:hAnsi="仿宋" w:eastAsia="仿宋" w:cs="仿宋"/>
                <w:color w:val="000000" w:themeColor="text1"/>
                <w:kern w:val="0"/>
                <w:sz w:val="20"/>
                <w:szCs w:val="20"/>
                <w:highlight w:val="none"/>
                <w:u w:val="none"/>
                <w14:textFill>
                  <w14:solidFill>
                    <w14:schemeClr w14:val="tx1"/>
                  </w14:solidFill>
                </w14:textFill>
              </w:rPr>
              <w:t>要求</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对其</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所提</w:t>
            </w:r>
            <w:r>
              <w:rPr>
                <w:rFonts w:hint="eastAsia" w:ascii="仿宋" w:hAnsi="仿宋" w:eastAsia="仿宋" w:cs="仿宋"/>
                <w:color w:val="000000" w:themeColor="text1"/>
                <w:kern w:val="0"/>
                <w:sz w:val="20"/>
                <w:szCs w:val="20"/>
                <w:highlight w:val="none"/>
                <w:u w:val="none"/>
                <w14:textFill>
                  <w14:solidFill>
                    <w14:schemeClr w14:val="tx1"/>
                  </w14:solidFill>
                </w14:textFill>
              </w:rPr>
              <w:t>供的设备（产品）（</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包含</w:t>
            </w:r>
            <w:r>
              <w:rPr>
                <w:rFonts w:hint="eastAsia" w:ascii="仿宋" w:hAnsi="仿宋" w:eastAsia="仿宋" w:cs="仿宋"/>
                <w:color w:val="000000" w:themeColor="text1"/>
                <w:kern w:val="0"/>
                <w:sz w:val="20"/>
                <w:szCs w:val="20"/>
                <w:highlight w:val="none"/>
                <w:u w:val="none"/>
                <w14:textFill>
                  <w14:solidFill>
                    <w14:schemeClr w14:val="tx1"/>
                  </w14:solidFill>
                </w14:textFill>
              </w:rPr>
              <w:t>软件和硬件）的功能进行逐一演示，如有功能</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与实际不相符，一律</w:t>
            </w:r>
            <w:r>
              <w:rPr>
                <w:rFonts w:hint="eastAsia" w:ascii="仿宋" w:hAnsi="仿宋" w:eastAsia="仿宋" w:cs="仿宋"/>
                <w:color w:val="000000" w:themeColor="text1"/>
                <w:kern w:val="0"/>
                <w:sz w:val="20"/>
                <w:szCs w:val="20"/>
                <w:highlight w:val="none"/>
                <w:u w:val="none"/>
                <w14:textFill>
                  <w14:solidFill>
                    <w14:schemeClr w14:val="tx1"/>
                  </w14:solidFill>
                </w14:textFill>
              </w:rPr>
              <w:t>按虚假应标处理，由</w:t>
            </w:r>
            <w:r>
              <w:rPr>
                <w:rFonts w:hint="eastAsia" w:ascii="仿宋" w:hAnsi="仿宋" w:eastAsia="仿宋" w:cs="仿宋"/>
                <w:color w:val="000000" w:themeColor="text1"/>
                <w:kern w:val="0"/>
                <w:sz w:val="20"/>
                <w:szCs w:val="20"/>
                <w:highlight w:val="none"/>
                <w:u w:val="none"/>
                <w:lang w:val="en-US" w:eastAsia="zh-CN"/>
                <w14:textFill>
                  <w14:solidFill>
                    <w14:schemeClr w14:val="tx1"/>
                  </w14:solidFill>
                </w14:textFill>
              </w:rPr>
              <w:t>乙方</w:t>
            </w:r>
            <w:r>
              <w:rPr>
                <w:rFonts w:hint="eastAsia" w:ascii="仿宋" w:hAnsi="仿宋" w:eastAsia="仿宋" w:cs="仿宋"/>
                <w:color w:val="000000" w:themeColor="text1"/>
                <w:kern w:val="0"/>
                <w:sz w:val="20"/>
                <w:szCs w:val="20"/>
                <w:highlight w:val="none"/>
                <w:u w:val="none"/>
                <w14:textFill>
                  <w14:solidFill>
                    <w14:schemeClr w14:val="tx1"/>
                  </w14:solidFill>
                </w14:textFill>
              </w:rPr>
              <w:t>承担</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因此</w:t>
            </w:r>
            <w:r>
              <w:rPr>
                <w:rFonts w:hint="eastAsia" w:ascii="仿宋" w:hAnsi="仿宋" w:eastAsia="仿宋" w:cs="仿宋"/>
                <w:color w:val="000000" w:themeColor="text1"/>
                <w:kern w:val="0"/>
                <w:sz w:val="20"/>
                <w:szCs w:val="20"/>
                <w:highlight w:val="none"/>
                <w:u w:val="none"/>
                <w14:textFill>
                  <w14:solidFill>
                    <w14:schemeClr w14:val="tx1"/>
                  </w14:solidFill>
                </w14:textFill>
              </w:rPr>
              <w:t>产生的</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违约</w:t>
            </w:r>
            <w:r>
              <w:rPr>
                <w:rFonts w:hint="eastAsia" w:ascii="仿宋" w:hAnsi="仿宋" w:eastAsia="仿宋" w:cs="仿宋"/>
                <w:color w:val="000000" w:themeColor="text1"/>
                <w:kern w:val="0"/>
                <w:sz w:val="20"/>
                <w:szCs w:val="20"/>
                <w:highlight w:val="none"/>
                <w:u w:val="none"/>
                <w14:textFill>
                  <w14:solidFill>
                    <w14:schemeClr w14:val="tx1"/>
                  </w14:solidFill>
                </w14:textFill>
              </w:rPr>
              <w:t>责任</w:t>
            </w:r>
            <w:r>
              <w:rPr>
                <w:rFonts w:hint="eastAsia" w:ascii="仿宋" w:hAnsi="仿宋" w:eastAsia="仿宋" w:cs="仿宋"/>
                <w:color w:val="000000" w:themeColor="text1"/>
                <w:kern w:val="0"/>
                <w:sz w:val="20"/>
                <w:szCs w:val="20"/>
                <w:highlight w:val="none"/>
                <w:u w:val="none"/>
                <w:lang w:eastAsia="zh-CN"/>
                <w14:textFill>
                  <w14:solidFill>
                    <w14:schemeClr w14:val="tx1"/>
                  </w14:solidFill>
                </w14:textFill>
              </w:rPr>
              <w:t>。</w:t>
            </w:r>
          </w:p>
          <w:p w14:paraId="692CDAF0">
            <w:pPr>
              <w:pStyle w:val="12"/>
              <w:jc w:val="both"/>
              <w:rPr>
                <w:rFonts w:hint="eastAsia" w:ascii="仿宋" w:hAnsi="仿宋" w:eastAsia="仿宋" w:cs="仿宋"/>
                <w:color w:val="000000" w:themeColor="text1"/>
                <w:kern w:val="2"/>
                <w:sz w:val="20"/>
                <w:szCs w:val="20"/>
                <w:highlight w:val="none"/>
                <w:lang w:eastAsia="zh-CN"/>
                <w14:textFill>
                  <w14:solidFill>
                    <w14:schemeClr w14:val="tx1"/>
                  </w14:solidFill>
                </w14:textFill>
              </w:rPr>
            </w:pPr>
            <w:r>
              <w:rPr>
                <w:rFonts w:hint="eastAsia" w:ascii="仿宋" w:hAnsi="仿宋" w:eastAsia="仿宋" w:cs="仿宋"/>
                <w:color w:val="000000" w:themeColor="text1"/>
                <w:kern w:val="2"/>
                <w:sz w:val="20"/>
                <w:szCs w:val="20"/>
                <w:highlight w:val="none"/>
                <w:lang w:eastAsia="zh-CN"/>
                <w14:textFill>
                  <w14:solidFill>
                    <w14:schemeClr w14:val="tx1"/>
                  </w14:solidFill>
                </w14:textFill>
              </w:rPr>
              <w:t>（</w:t>
            </w:r>
            <w:r>
              <w:rPr>
                <w:rFonts w:hint="eastAsia" w:ascii="仿宋" w:hAnsi="仿宋" w:eastAsia="仿宋" w:cs="仿宋"/>
                <w:color w:val="000000" w:themeColor="text1"/>
                <w:kern w:val="2"/>
                <w:sz w:val="20"/>
                <w:szCs w:val="20"/>
                <w:highlight w:val="none"/>
                <w:lang w:val="en-US" w:eastAsia="zh-CN"/>
                <w14:textFill>
                  <w14:solidFill>
                    <w14:schemeClr w14:val="tx1"/>
                  </w14:solidFill>
                </w14:textFill>
              </w:rPr>
              <w:t>8</w:t>
            </w:r>
            <w:r>
              <w:rPr>
                <w:rFonts w:hint="eastAsia" w:ascii="仿宋" w:hAnsi="仿宋" w:eastAsia="仿宋" w:cs="仿宋"/>
                <w:color w:val="000000" w:themeColor="text1"/>
                <w:kern w:val="2"/>
                <w:sz w:val="20"/>
                <w:szCs w:val="20"/>
                <w:highlight w:val="none"/>
                <w:lang w:eastAsia="zh-CN"/>
                <w14:textFill>
                  <w14:solidFill>
                    <w14:schemeClr w14:val="tx1"/>
                  </w14:solidFill>
                </w14:textFill>
              </w:rPr>
              <w:t>）质保期结束，甲方根据售后服务要求对乙方进行整体评价，如评价为不合格，视为未按约定履行合同约定，上报上级财政部门。质保期结束后的维修、维护等由双方协商再定；</w:t>
            </w:r>
          </w:p>
          <w:p w14:paraId="07DDB0A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）乙方在承担上述1-7款一项或多项违约责任后，仍应继续履行合同规定的义务（甲方解除合同的除外）。甲方未能及时追究乙方的任何一项违约责任并不表明甲方放弃追究乙方该项或其他违约责任；</w:t>
            </w:r>
          </w:p>
          <w:p w14:paraId="0007713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10</w:t>
            </w:r>
            <w:r>
              <w:rPr>
                <w:rFonts w:hint="eastAsia" w:ascii="仿宋" w:hAnsi="仿宋" w:eastAsia="仿宋" w:cs="仿宋"/>
                <w:color w:val="000000" w:themeColor="text1"/>
                <w:sz w:val="20"/>
                <w:szCs w:val="20"/>
                <w:highlight w:val="none"/>
                <w14:textFill>
                  <w14:solidFill>
                    <w14:schemeClr w14:val="tx1"/>
                  </w14:solidFill>
                </w14:textFill>
              </w:rPr>
              <w:t>）乙方偿付的违约金不足以弥补甲方损失的，还应按甲方损失尚未弥补的部分，支付赔偿金给甲方。</w:t>
            </w:r>
          </w:p>
          <w:p w14:paraId="6508209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1</w:t>
            </w:r>
            <w:r>
              <w:rPr>
                <w:rFonts w:hint="eastAsia" w:ascii="仿宋" w:hAnsi="仿宋" w:eastAsia="仿宋" w:cs="仿宋"/>
                <w:color w:val="000000" w:themeColor="text1"/>
                <w:sz w:val="20"/>
                <w:szCs w:val="20"/>
                <w:highlight w:val="none"/>
                <w14:textFill>
                  <w14:solidFill>
                    <w14:schemeClr w14:val="tx1"/>
                  </w14:solidFill>
                </w14:textFill>
              </w:rPr>
              <w:t>）依据《中华人民共和国民法典</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中华人民共和国政府采购法》的相关条款和所签署的合同约定，乙方未全面履行合同义务或者发生违约，甲方会依法向乙方进行经济索赔，并报请政府采购监督管理机关进行相应的行政处罚。</w:t>
            </w:r>
          </w:p>
        </w:tc>
      </w:tr>
      <w:tr w14:paraId="2F2899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14" w:hRule="atLeast"/>
          <w:jc w:val="center"/>
        </w:trPr>
        <w:tc>
          <w:tcPr>
            <w:tcW w:w="1608" w:type="dxa"/>
            <w:tcBorders>
              <w:top w:val="single" w:color="auto" w:sz="2" w:space="0"/>
              <w:right w:val="single" w:color="auto" w:sz="2" w:space="0"/>
            </w:tcBorders>
            <w:vAlign w:val="center"/>
          </w:tcPr>
          <w:p w14:paraId="7BFBB05A">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359D523">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第19.2款</w:t>
            </w:r>
          </w:p>
        </w:tc>
        <w:tc>
          <w:tcPr>
            <w:tcW w:w="2220" w:type="dxa"/>
            <w:tcBorders>
              <w:top w:val="single" w:color="auto" w:sz="2" w:space="0"/>
              <w:left w:val="single" w:color="auto" w:sz="2" w:space="0"/>
              <w:right w:val="single" w:color="auto" w:sz="2" w:space="0"/>
            </w:tcBorders>
            <w:vAlign w:val="center"/>
          </w:tcPr>
          <w:p w14:paraId="406E60B1">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解决争议的方法</w:t>
            </w:r>
          </w:p>
        </w:tc>
        <w:tc>
          <w:tcPr>
            <w:tcW w:w="5379" w:type="dxa"/>
            <w:tcBorders>
              <w:top w:val="single" w:color="auto" w:sz="2" w:space="0"/>
              <w:left w:val="single" w:color="auto" w:sz="2" w:space="0"/>
            </w:tcBorders>
            <w:vAlign w:val="center"/>
          </w:tcPr>
          <w:p w14:paraId="544F3FA2">
            <w:pPr>
              <w:autoSpaceDE w:val="0"/>
              <w:autoSpaceDN w:val="0"/>
              <w:adjustRightInd w:val="0"/>
              <w:snapToGrid w:val="0"/>
              <w:spacing w:line="400" w:lineRule="exact"/>
              <w:jc w:val="left"/>
              <w:rPr>
                <w:rFonts w:hint="eastAsia" w:ascii="仿宋" w:hAnsi="仿宋" w:eastAsia="仿宋" w:cs="仿宋"/>
                <w:iCs/>
                <w:color w:val="000000" w:themeColor="text1"/>
                <w:sz w:val="20"/>
                <w:szCs w:val="20"/>
                <w:highlight w:val="none"/>
                <w14:textFill>
                  <w14:solidFill>
                    <w14:schemeClr w14:val="tx1"/>
                  </w14:solidFill>
                </w14:textFill>
              </w:rPr>
            </w:pPr>
            <w:r>
              <w:rPr>
                <w:rFonts w:hint="eastAsia" w:ascii="仿宋" w:hAnsi="仿宋" w:eastAsia="仿宋" w:cs="仿宋"/>
                <w:iCs/>
                <w:color w:val="000000" w:themeColor="text1"/>
                <w:sz w:val="20"/>
                <w:szCs w:val="20"/>
                <w:highlight w:val="none"/>
                <w14:textFill>
                  <w14:solidFill>
                    <w14:schemeClr w14:val="tx1"/>
                  </w14:solidFill>
                </w14:textFill>
              </w:rPr>
              <w:t>因本合同及合同有关事项发生的争议，按下列第</w:t>
            </w:r>
            <w:r>
              <w:rPr>
                <w:rFonts w:hint="eastAsia" w:ascii="仿宋" w:hAnsi="仿宋" w:eastAsia="仿宋" w:cs="仿宋"/>
                <w:iCs/>
                <w:color w:val="000000" w:themeColor="text1"/>
                <w:sz w:val="20"/>
                <w:szCs w:val="20"/>
                <w:highlight w:val="none"/>
                <w:u w:val="single"/>
                <w14:textFill>
                  <w14:solidFill>
                    <w14:schemeClr w14:val="tx1"/>
                  </w14:solidFill>
                </w14:textFill>
              </w:rPr>
              <w:t>（2）</w:t>
            </w:r>
            <w:r>
              <w:rPr>
                <w:rFonts w:hint="eastAsia" w:ascii="仿宋" w:hAnsi="仿宋" w:eastAsia="仿宋" w:cs="仿宋"/>
                <w:iCs/>
                <w:color w:val="000000" w:themeColor="text1"/>
                <w:sz w:val="20"/>
                <w:szCs w:val="20"/>
                <w:highlight w:val="none"/>
                <w14:textFill>
                  <w14:solidFill>
                    <w14:schemeClr w14:val="tx1"/>
                  </w14:solidFill>
                </w14:textFill>
              </w:rPr>
              <w:t>种方式解决：（1）向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西安 </w:t>
            </w:r>
            <w:r>
              <w:rPr>
                <w:rFonts w:hint="eastAsia" w:ascii="仿宋" w:hAnsi="仿宋" w:eastAsia="仿宋" w:cs="仿宋"/>
                <w:iCs/>
                <w:color w:val="000000" w:themeColor="text1"/>
                <w:sz w:val="20"/>
                <w:szCs w:val="20"/>
                <w:highlight w:val="none"/>
                <w14:textFill>
                  <w14:solidFill>
                    <w14:schemeClr w14:val="tx1"/>
                  </w14:solidFill>
                </w14:textFill>
              </w:rPr>
              <w:t>仲裁委员会申请仲裁；（2）向</w:t>
            </w:r>
            <w:r>
              <w:rPr>
                <w:rFonts w:hint="eastAsia" w:ascii="仿宋" w:hAnsi="仿宋" w:eastAsia="仿宋" w:cs="仿宋"/>
                <w:iCs/>
                <w:color w:val="000000" w:themeColor="text1"/>
                <w:sz w:val="20"/>
                <w:szCs w:val="20"/>
                <w:highlight w:val="none"/>
                <w:u w:val="single"/>
                <w14:textFill>
                  <w14:solidFill>
                    <w14:schemeClr w14:val="tx1"/>
                  </w14:solidFill>
                </w14:textFill>
              </w:rPr>
              <w:t xml:space="preserve"> 甲方所在地 </w:t>
            </w:r>
            <w:r>
              <w:rPr>
                <w:rFonts w:hint="eastAsia" w:ascii="仿宋" w:hAnsi="仿宋" w:eastAsia="仿宋" w:cs="仿宋"/>
                <w:iCs/>
                <w:color w:val="000000" w:themeColor="text1"/>
                <w:sz w:val="20"/>
                <w:szCs w:val="20"/>
                <w:highlight w:val="none"/>
                <w14:textFill>
                  <w14:solidFill>
                    <w14:schemeClr w14:val="tx1"/>
                  </w14:solidFill>
                </w14:textFill>
              </w:rPr>
              <w:t>人民法院起诉。</w:t>
            </w:r>
          </w:p>
        </w:tc>
      </w:tr>
      <w:tr w14:paraId="4D1475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74" w:hRule="atLeast"/>
          <w:jc w:val="center"/>
        </w:trPr>
        <w:tc>
          <w:tcPr>
            <w:tcW w:w="1608" w:type="dxa"/>
            <w:vAlign w:val="center"/>
          </w:tcPr>
          <w:p w14:paraId="79D27BF0">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第二节</w:t>
            </w:r>
          </w:p>
          <w:p w14:paraId="03DF465F">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第23.1款</w:t>
            </w:r>
          </w:p>
        </w:tc>
        <w:tc>
          <w:tcPr>
            <w:tcW w:w="2220" w:type="dxa"/>
            <w:vAlign w:val="center"/>
          </w:tcPr>
          <w:p w14:paraId="57565B5C">
            <w:pPr>
              <w:adjustRightInd w:val="0"/>
              <w:snapToGrid w:val="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Cs/>
                <w:color w:val="000000" w:themeColor="text1"/>
                <w:sz w:val="20"/>
                <w:szCs w:val="20"/>
                <w:highlight w:val="none"/>
                <w14:textFill>
                  <w14:solidFill>
                    <w14:schemeClr w14:val="tx1"/>
                  </w14:solidFill>
                </w14:textFill>
              </w:rPr>
              <w:t>其他专用条款</w:t>
            </w:r>
          </w:p>
        </w:tc>
        <w:tc>
          <w:tcPr>
            <w:tcW w:w="5379" w:type="dxa"/>
            <w:vAlign w:val="center"/>
          </w:tcPr>
          <w:p w14:paraId="5131D11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1.货物验收由甲方组织，乙方配合，并按下列程序进行：</w:t>
            </w:r>
          </w:p>
          <w:p w14:paraId="64B00B4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5591DB1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（2）到货验收 ：货物到达后，按合同第一条款的货物清单和装箱单逐一核对，同时检查货物外观，是否有划痕或破损的，并做好相应记录；</w:t>
            </w:r>
          </w:p>
          <w:p w14:paraId="7CC8271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按乙方承诺的产品包装环保材料进行验收，必要时乙方需提供检测报告，甲方发现虚假承诺时，将扣除总货款的</w:t>
            </w:r>
            <w:r>
              <w:rPr>
                <w:rFonts w:hint="eastAsia" w:ascii="仿宋" w:hAnsi="仿宋" w:eastAsia="仿宋" w:cs="仿宋"/>
                <w:color w:val="000000" w:themeColor="text1"/>
                <w:sz w:val="20"/>
                <w:szCs w:val="20"/>
                <w:highlight w:val="none"/>
                <w:u w:val="single"/>
                <w14:textFill>
                  <w14:solidFill>
                    <w14:schemeClr w14:val="tx1"/>
                  </w14:solidFill>
                </w14:textFill>
              </w:rPr>
              <w:t xml:space="preserve"> 3 </w:t>
            </w:r>
            <w:r>
              <w:rPr>
                <w:rFonts w:hint="eastAsia" w:ascii="仿宋" w:hAnsi="仿宋" w:eastAsia="仿宋" w:cs="仿宋"/>
                <w:color w:val="000000" w:themeColor="text1"/>
                <w:sz w:val="20"/>
                <w:szCs w:val="20"/>
                <w:highlight w:val="none"/>
                <w14:textFill>
                  <w14:solidFill>
                    <w14:schemeClr w14:val="tx1"/>
                  </w14:solidFill>
                </w14:textFill>
              </w:rPr>
              <w:t>%作为处罚。</w:t>
            </w:r>
          </w:p>
          <w:p w14:paraId="6F8BED4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（3）货物初验：乙方应在货物到货之日起，</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日内全部完成安装调试完毕；乙方安装调试完毕后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日内完成初步验收；初步验收合格后，进入</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试用期；试用期间发生重大质量问题，修复后试用期相应顺延；</w:t>
            </w:r>
          </w:p>
          <w:p w14:paraId="1ECE5D7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（4）货物终验：试用期结束后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日内完成最终验收；</w:t>
            </w:r>
          </w:p>
          <w:p w14:paraId="22EC97E7">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（5）质量验收合格，双方签署质量验收报告。</w:t>
            </w:r>
          </w:p>
          <w:p w14:paraId="3232ADB2">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2.货物验收依据：</w:t>
            </w:r>
          </w:p>
          <w:p w14:paraId="32B0EBBC">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采购</w:t>
            </w:r>
            <w:r>
              <w:rPr>
                <w:rFonts w:hint="eastAsia" w:ascii="仿宋" w:hAnsi="仿宋" w:eastAsia="仿宋" w:cs="仿宋"/>
                <w:color w:val="000000" w:themeColor="text1"/>
                <w:sz w:val="20"/>
                <w:szCs w:val="20"/>
                <w:highlight w:val="none"/>
                <w14:textFill>
                  <w14:solidFill>
                    <w14:schemeClr w14:val="tx1"/>
                  </w14:solidFill>
                </w14:textFill>
              </w:rPr>
              <w:t>文件；</w:t>
            </w:r>
          </w:p>
          <w:p w14:paraId="4143EDEE">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val="en-US" w:eastAsia="zh-CN"/>
                <w14:textFill>
                  <w14:solidFill>
                    <w14:schemeClr w14:val="tx1"/>
                  </w14:solidFill>
                </w14:textFill>
              </w:rPr>
              <w:t>响应</w:t>
            </w:r>
            <w:r>
              <w:rPr>
                <w:rFonts w:hint="eastAsia" w:ascii="仿宋" w:hAnsi="仿宋" w:eastAsia="仿宋" w:cs="仿宋"/>
                <w:color w:val="000000" w:themeColor="text1"/>
                <w:sz w:val="20"/>
                <w:szCs w:val="20"/>
                <w:highlight w:val="none"/>
                <w:lang w:eastAsia="zh-CN"/>
                <w14:textFill>
                  <w14:solidFill>
                    <w14:schemeClr w14:val="tx1"/>
                  </w14:solidFill>
                </w14:textFill>
              </w:rPr>
              <w:t>文件</w:t>
            </w:r>
            <w:r>
              <w:rPr>
                <w:rFonts w:hint="eastAsia" w:ascii="仿宋" w:hAnsi="仿宋" w:eastAsia="仿宋" w:cs="仿宋"/>
                <w:color w:val="000000" w:themeColor="text1"/>
                <w:sz w:val="20"/>
                <w:szCs w:val="20"/>
                <w:highlight w:val="none"/>
                <w14:textFill>
                  <w14:solidFill>
                    <w14:schemeClr w14:val="tx1"/>
                  </w14:solidFill>
                </w14:textFill>
              </w:rPr>
              <w:t>；</w:t>
            </w:r>
          </w:p>
          <w:p w14:paraId="412921A0">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（3）采购合同及补充协议；</w:t>
            </w:r>
          </w:p>
          <w:p w14:paraId="57A1A69B">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（4）质检部门抽样检查货物（产品）合格的检测报告。</w:t>
            </w:r>
          </w:p>
          <w:p w14:paraId="77C51B5A">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3.货物验收时发现问题的处理办法：</w:t>
            </w:r>
          </w:p>
          <w:p w14:paraId="104EAE91">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（1）乙方提供不符合谈判文件和本合同规定的货物（产品），甲方有权拒绝接受；</w:t>
            </w:r>
          </w:p>
          <w:p w14:paraId="0D19030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（2）如发现所交付的货物有短装、次品、损坏或</w:t>
            </w:r>
            <w:r>
              <w:rPr>
                <w:rFonts w:hint="eastAsia" w:ascii="仿宋" w:hAnsi="仿宋" w:eastAsia="仿宋" w:cs="仿宋"/>
                <w:color w:val="000000" w:themeColor="text1"/>
                <w:sz w:val="20"/>
                <w:szCs w:val="20"/>
                <w:highlight w:val="none"/>
                <w:lang w:eastAsia="zh-CN"/>
                <w14:textFill>
                  <w14:solidFill>
                    <w14:schemeClr w14:val="tx1"/>
                  </w14:solidFill>
                </w14:textFill>
              </w:rPr>
              <w:t>其他不</w:t>
            </w:r>
            <w:r>
              <w:rPr>
                <w:rFonts w:hint="eastAsia" w:ascii="仿宋" w:hAnsi="仿宋" w:eastAsia="仿宋" w:cs="仿宋"/>
                <w:color w:val="000000" w:themeColor="text1"/>
                <w:sz w:val="20"/>
                <w:szCs w:val="20"/>
                <w:highlight w:val="none"/>
                <w14:textFill>
                  <w14:solidFill>
                    <w14:schemeClr w14:val="tx1"/>
                  </w14:solidFill>
                </w14:textFill>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有效证据，由此产生的时间延误与有关费用由乙方承担，验收期限相应顺延；</w:t>
            </w:r>
          </w:p>
          <w:p w14:paraId="467B2FA8">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（3）如货物经乙方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78CF3FF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（4）货物安装完成后</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日内，甲方无故不进行验收工作并已使用货物的，视同已安装调试完成并验收合格；</w:t>
            </w:r>
          </w:p>
          <w:p w14:paraId="23A9C2CD">
            <w:pPr>
              <w:adjustRightInd w:val="0"/>
              <w:snapToGrid w:val="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（5）乙方不能完整交付货物及本条第一款规定的单证和工具的，必须负责补齐，否则视为未按合同约定交货；</w:t>
            </w:r>
          </w:p>
          <w:p w14:paraId="20319F88">
            <w:pPr>
              <w:adjustRightInd w:val="0"/>
              <w:snapToGrid w:val="0"/>
              <w:jc w:val="left"/>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（6）超出合理磅差的处理方法：</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w:t>
            </w:r>
          </w:p>
        </w:tc>
      </w:tr>
    </w:tbl>
    <w:p w14:paraId="7D375F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FC674"/>
    <w:multiLevelType w:val="singleLevel"/>
    <w:tmpl w:val="FFEFC674"/>
    <w:lvl w:ilvl="0" w:tentative="0">
      <w:start w:val="1"/>
      <w:numFmt w:val="decimal"/>
      <w:suff w:val="nothing"/>
      <w:lvlText w:val="（%1）"/>
      <w:lvlJc w:val="left"/>
    </w:lvl>
  </w:abstractNum>
  <w:abstractNum w:abstractNumId="1">
    <w:nsid w:val="010C5A66"/>
    <w:multiLevelType w:val="multilevel"/>
    <w:tmpl w:val="010C5A66"/>
    <w:lvl w:ilvl="0" w:tentative="0">
      <w:start w:val="8"/>
      <w:numFmt w:val="decimal"/>
      <w:lvlText w:val="（%1）"/>
      <w:lvlJc w:val="left"/>
      <w:pPr>
        <w:ind w:left="1140" w:hanging="720"/>
      </w:pPr>
      <w:rPr>
        <w:rFonts w:hint="default"/>
        <w:u w:val="none"/>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130D06"/>
    <w:rsid w:val="44130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0"/>
    </w:rPr>
  </w:style>
  <w:style w:type="paragraph" w:styleId="3">
    <w:name w:val="Body Text"/>
    <w:basedOn w:val="1"/>
    <w:next w:val="4"/>
    <w:unhideWhenUsed/>
    <w:qFormat/>
    <w:uiPriority w:val="99"/>
    <w:pPr>
      <w:spacing w:after="120"/>
    </w:pPr>
  </w:style>
  <w:style w:type="paragraph" w:styleId="4">
    <w:name w:val="Body Text First Indent"/>
    <w:basedOn w:val="3"/>
    <w:next w:val="1"/>
    <w:unhideWhenUsed/>
    <w:qFormat/>
    <w:uiPriority w:val="99"/>
    <w:pPr>
      <w:ind w:firstLine="420" w:firstLineChars="100"/>
    </w:pPr>
  </w:style>
  <w:style w:type="paragraph" w:styleId="5">
    <w:name w:val="Body Text Indent"/>
    <w:basedOn w:val="1"/>
    <w:next w:val="6"/>
    <w:unhideWhenUsed/>
    <w:qFormat/>
    <w:uiPriority w:val="0"/>
    <w:pPr>
      <w:spacing w:after="120"/>
      <w:ind w:left="420" w:leftChars="200"/>
    </w:pPr>
    <w:rPr>
      <w:rFonts w:asciiTheme="minorHAnsi" w:hAnsiTheme="minorHAnsi" w:eastAsiaTheme="minorEastAsia" w:cstheme="minorBidi"/>
      <w:szCs w:val="24"/>
    </w:rPr>
  </w:style>
  <w:style w:type="paragraph" w:styleId="6">
    <w:name w:val="Body Text First Indent 2"/>
    <w:basedOn w:val="5"/>
    <w:next w:val="4"/>
    <w:unhideWhenUsed/>
    <w:qFormat/>
    <w:uiPriority w:val="0"/>
    <w:pPr>
      <w:ind w:firstLine="420"/>
    </w:p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10">
    <w:name w:val="列出段落1"/>
    <w:basedOn w:val="1"/>
    <w:qFormat/>
    <w:uiPriority w:val="0"/>
    <w:pPr>
      <w:ind w:firstLine="420" w:firstLineChars="200"/>
    </w:pPr>
    <w:rPr>
      <w:rFonts w:ascii="Times New Roman" w:hAnsi="Times New Roman"/>
      <w:szCs w:val="21"/>
    </w:rPr>
  </w:style>
  <w:style w:type="paragraph" w:styleId="11">
    <w:name w:val="List Paragraph"/>
    <w:basedOn w:val="1"/>
    <w:qFormat/>
    <w:uiPriority w:val="34"/>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2025-08-14T03:03:00Z</dcterms:created>
  <dc:creator>代理公司</dc:creator>
  <cp:lastModifiedBy>代理公司</cp:lastModifiedBy>
  <dcterms:modified xsi:type="dcterms:W3CDTF">2025-08-14T03:03:37Z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4D2C45554A5C430081F660EAB37F8062_11</vt:lpwstr>
  </property>
  <property fmtid="{D5CDD505-2E9C-101B-9397-08002B2CF9AE}" pid="4" name="KSOTemplateDocerSaveRecord">
    <vt:lpwstr>eyJoZGlkIjoiNTU4MTg4NzM5MmMxMzE3OTU5ZTE4YzVhNTk4NDcwY2UiLCJ1c2VySWQiOiIyMjY0NTY0NzgifQ==</vt:lpwstr>
  </property>
</Properties>
</file>