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FC156">
      <w:pPr>
        <w:spacing w:after="120"/>
        <w:jc w:val="center"/>
        <w:rPr>
          <w:rFonts w:ascii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shd w:val="clear" w:color="auto" w:fill="FFFFFF"/>
        </w:rPr>
        <w:t>服务应答表（1包）</w:t>
      </w:r>
    </w:p>
    <w:p w14:paraId="24CC7219">
      <w:pPr>
        <w:spacing w:line="48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项目名称：互联网信息工作</w:t>
      </w:r>
    </w:p>
    <w:p w14:paraId="2DE268BD">
      <w:pPr>
        <w:spacing w:after="120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项目编号：HXGJXM2025-ZC-CS1085</w:t>
      </w:r>
    </w:p>
    <w:tbl>
      <w:tblPr>
        <w:tblStyle w:val="7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357"/>
        <w:gridCol w:w="2550"/>
        <w:gridCol w:w="1295"/>
        <w:gridCol w:w="902"/>
      </w:tblGrid>
      <w:tr w14:paraId="64E96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99" w:type="dxa"/>
            <w:vAlign w:val="center"/>
          </w:tcPr>
          <w:p w14:paraId="08B01E23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3357" w:type="dxa"/>
            <w:vAlign w:val="center"/>
          </w:tcPr>
          <w:p w14:paraId="691654FE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磋商文件要求</w:t>
            </w:r>
          </w:p>
        </w:tc>
        <w:tc>
          <w:tcPr>
            <w:tcW w:w="2550" w:type="dxa"/>
            <w:vAlign w:val="center"/>
          </w:tcPr>
          <w:p w14:paraId="34F81E5B">
            <w:pPr>
              <w:pStyle w:val="6"/>
              <w:tabs>
                <w:tab w:val="left" w:pos="6880"/>
              </w:tabs>
              <w:spacing w:line="360" w:lineRule="auto"/>
              <w:ind w:firstLine="110" w:firstLineChars="5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磋商响应文件的应答</w:t>
            </w:r>
          </w:p>
        </w:tc>
        <w:tc>
          <w:tcPr>
            <w:tcW w:w="1295" w:type="dxa"/>
            <w:vAlign w:val="center"/>
          </w:tcPr>
          <w:p w14:paraId="2A28709A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响应/偏离</w:t>
            </w:r>
          </w:p>
        </w:tc>
        <w:tc>
          <w:tcPr>
            <w:tcW w:w="902" w:type="dxa"/>
            <w:vAlign w:val="center"/>
          </w:tcPr>
          <w:p w14:paraId="446F107A">
            <w:pPr>
              <w:pStyle w:val="6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 w14:paraId="041A7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4" w:hRule="atLeast"/>
        </w:trPr>
        <w:tc>
          <w:tcPr>
            <w:tcW w:w="899" w:type="dxa"/>
            <w:vAlign w:val="center"/>
          </w:tcPr>
          <w:p w14:paraId="36381FFE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357" w:type="dxa"/>
            <w:vAlign w:val="center"/>
          </w:tcPr>
          <w:p w14:paraId="63EDF396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（一）互联网信息搜集、分析与报送工作服务</w:t>
            </w:r>
          </w:p>
          <w:p w14:paraId="7C992BC8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1、涉雁塔区互联网信息搜集服务。利用大数据信息采集与智能化分析技术，每天不间断搜集各类互联网信息，搜集范围包括但不限于互动论坛、微博、微信公众号、抖音、今日头条、百家号等主流互联网平台、客户端，主流新闻媒体网站、陕西属地媒体网站等。</w:t>
            </w:r>
          </w:p>
          <w:p w14:paraId="09B217D1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2、互联网信息综合分析服务。组织专职互联网信息分析团队，分析互联网信息内容，根据业务要求推送符合业务规则的信息，完成相关工作安排。</w:t>
            </w:r>
          </w:p>
          <w:p w14:paraId="78238078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3、每日互联网信息专报服务。完成互联网信息日报与每日互联网信息专报工作。</w:t>
            </w:r>
          </w:p>
          <w:p w14:paraId="7BC3C497">
            <w:pPr>
              <w:pStyle w:val="9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</w:rPr>
              <w:t>4、互联网信息台账梳理、汇总服务。按业务要求整理互联网信息分类台账，及时上报汇总。</w:t>
            </w:r>
          </w:p>
        </w:tc>
        <w:tc>
          <w:tcPr>
            <w:tcW w:w="2550" w:type="dxa"/>
            <w:vAlign w:val="top"/>
          </w:tcPr>
          <w:p w14:paraId="4CE795F4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295" w:type="dxa"/>
            <w:vAlign w:val="center"/>
          </w:tcPr>
          <w:p w14:paraId="61FC4430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2C601B6C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57106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9" w:type="dxa"/>
            <w:vAlign w:val="center"/>
          </w:tcPr>
          <w:p w14:paraId="13C0018B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357" w:type="dxa"/>
          </w:tcPr>
          <w:p w14:paraId="512633D0">
            <w:pPr>
              <w:ind w:left="-4" w:leftChars="-44" w:hanging="88" w:hangingChars="44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（二）单位互联网信息内容巡检服务</w:t>
            </w:r>
          </w:p>
          <w:p w14:paraId="04EBD35C">
            <w:pPr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1、根据工作要求，确定网上巡查范围，及时补充和修订网站、互联网账号目标清单。</w:t>
            </w:r>
          </w:p>
          <w:p w14:paraId="74E4C567">
            <w:pPr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2、及时更新联网信息内容巡检规则。</w:t>
            </w:r>
          </w:p>
          <w:p w14:paraId="2632770C">
            <w:pPr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3、对目标清单存量文本内容进行一次全面巡检，输出服务报告。</w:t>
            </w:r>
          </w:p>
          <w:p w14:paraId="6FEF7BD1">
            <w:pPr>
              <w:pStyle w:val="9"/>
              <w:spacing w:line="360" w:lineRule="auto"/>
              <w:rPr>
                <w:rFonts w:hint="default" w:ascii="宋体" w:hAnsi="宋体" w:eastAsia="宋体" w:cs="宋体"/>
                <w:sz w:val="22"/>
                <w:szCs w:val="22"/>
              </w:rPr>
            </w:pPr>
            <w:r>
              <w:rPr>
                <w:rFonts w:asciiTheme="minorEastAsia" w:hAnsiTheme="minorEastAsia" w:cstheme="minorEastAsia"/>
              </w:rPr>
              <w:t>4、每日巡检目标清单增量文本内容，输出服务报告。</w:t>
            </w:r>
          </w:p>
        </w:tc>
        <w:tc>
          <w:tcPr>
            <w:tcW w:w="2550" w:type="dxa"/>
            <w:vAlign w:val="top"/>
          </w:tcPr>
          <w:p w14:paraId="246DCE52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295" w:type="dxa"/>
            <w:vAlign w:val="center"/>
          </w:tcPr>
          <w:p w14:paraId="2520FA1F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7DB79073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6255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1" w:hRule="atLeast"/>
        </w:trPr>
        <w:tc>
          <w:tcPr>
            <w:tcW w:w="899" w:type="dxa"/>
            <w:vAlign w:val="center"/>
          </w:tcPr>
          <w:p w14:paraId="32373ED3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57" w:type="dxa"/>
            <w:vAlign w:val="center"/>
          </w:tcPr>
          <w:p w14:paraId="5C265FBD">
            <w:pPr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（三）网络行政执法技术服务</w:t>
            </w:r>
          </w:p>
          <w:p w14:paraId="122E8D8E">
            <w:pPr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、按照工作要求，针对搜集和巡检的互联网信息内容，依据《网信部门行政执法程序规定》和相关法律法规，完成网络案件执法中的线上、线下取证技术服务；协助完成案件相关法律法规和部门规章的分析技术服务；协助完成现场执法技术服务。</w:t>
            </w:r>
          </w:p>
          <w:p w14:paraId="1DC0D511">
            <w:pPr>
              <w:pStyle w:val="6"/>
              <w:tabs>
                <w:tab w:val="left" w:pos="6880"/>
              </w:tabs>
              <w:spacing w:line="240" w:lineRule="auto"/>
              <w:ind w:firstLine="0" w:firstLineChars="0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asciiTheme="minorEastAsia" w:hAnsiTheme="minorEastAsia" w:cstheme="minorEastAsia"/>
              </w:rPr>
              <w:t>2、按照工作要求，针对搜集和巡检的互联网信息内容，依据《网信部门行政执法程序规定》和相关法律法规，</w:t>
            </w:r>
            <w:r>
              <w:rPr>
                <w:rFonts w:asciiTheme="minorEastAsia" w:hAnsiTheme="minorEastAsia" w:cstheme="minorEastAsia"/>
                <w:color w:val="000000"/>
              </w:rPr>
              <w:t>对网站、互联网账号和应用平台的发布内容开展分析，并对违法违规电子证据进行固定。</w:t>
            </w:r>
          </w:p>
        </w:tc>
        <w:tc>
          <w:tcPr>
            <w:tcW w:w="2550" w:type="dxa"/>
            <w:vAlign w:val="top"/>
          </w:tcPr>
          <w:p w14:paraId="2EBA2634">
            <w:pPr>
              <w:pStyle w:val="6"/>
              <w:tabs>
                <w:tab w:val="left" w:pos="6880"/>
              </w:tabs>
              <w:spacing w:line="36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我单位响应如下：</w:t>
            </w:r>
          </w:p>
        </w:tc>
        <w:tc>
          <w:tcPr>
            <w:tcW w:w="1295" w:type="dxa"/>
            <w:vAlign w:val="center"/>
          </w:tcPr>
          <w:p w14:paraId="67FF2B94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BA47D91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14:paraId="4C35D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99" w:type="dxa"/>
            <w:vAlign w:val="center"/>
          </w:tcPr>
          <w:p w14:paraId="3CA184FF">
            <w:pPr>
              <w:pStyle w:val="6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...</w:t>
            </w:r>
          </w:p>
        </w:tc>
        <w:tc>
          <w:tcPr>
            <w:tcW w:w="3357" w:type="dxa"/>
            <w:vAlign w:val="center"/>
          </w:tcPr>
          <w:p w14:paraId="1A33317E">
            <w:pPr>
              <w:pStyle w:val="6"/>
              <w:tabs>
                <w:tab w:val="left" w:pos="6880"/>
              </w:tabs>
              <w:spacing w:line="240" w:lineRule="auto"/>
              <w:ind w:firstLine="0" w:firstLineChars="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...</w:t>
            </w:r>
          </w:p>
        </w:tc>
        <w:tc>
          <w:tcPr>
            <w:tcW w:w="2550" w:type="dxa"/>
            <w:vAlign w:val="center"/>
          </w:tcPr>
          <w:p w14:paraId="2F4FF2C6">
            <w:pPr>
              <w:pStyle w:val="6"/>
              <w:tabs>
                <w:tab w:val="left" w:pos="6880"/>
              </w:tabs>
              <w:spacing w:line="360" w:lineRule="auto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4C95703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2" w:type="dxa"/>
            <w:vAlign w:val="center"/>
          </w:tcPr>
          <w:p w14:paraId="597B02E4">
            <w:pPr>
              <w:pStyle w:val="6"/>
              <w:tabs>
                <w:tab w:val="left" w:pos="6880"/>
              </w:tabs>
              <w:spacing w:line="360" w:lineRule="auto"/>
              <w:ind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bookmarkEnd w:id="0"/>
    </w:tbl>
    <w:p w14:paraId="5C6A8CF5">
      <w:pPr>
        <w:spacing w:after="120"/>
        <w:ind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</w:t>
      </w:r>
    </w:p>
    <w:p w14:paraId="5697040F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</w:p>
    <w:p w14:paraId="007C1530">
      <w:pPr>
        <w:spacing w:line="280" w:lineRule="exact"/>
        <w:ind w:right="540" w:rightChars="257"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（加盖单位公章）      </w:t>
      </w:r>
    </w:p>
    <w:p w14:paraId="2DBE8D7C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6D26037A">
      <w:pPr>
        <w:spacing w:line="500" w:lineRule="exact"/>
        <w:ind w:firstLine="496" w:firstLineChars="200"/>
        <w:jc w:val="left"/>
        <w:rPr>
          <w:rFonts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>法定代表人或被授权人：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</w:t>
      </w:r>
      <w:r>
        <w:rPr>
          <w:rFonts w:hint="eastAsia" w:ascii="宋体" w:hAnsi="宋体" w:cs="宋体"/>
          <w:spacing w:val="4"/>
          <w:sz w:val="24"/>
        </w:rPr>
        <w:t>（签字或盖章）</w:t>
      </w:r>
    </w:p>
    <w:p w14:paraId="7E172211">
      <w:pPr>
        <w:spacing w:line="280" w:lineRule="exact"/>
        <w:ind w:right="540" w:rightChars="257"/>
        <w:jc w:val="left"/>
        <w:rPr>
          <w:rFonts w:ascii="宋体" w:hAnsi="宋体" w:cs="宋体"/>
          <w:sz w:val="24"/>
        </w:rPr>
      </w:pPr>
    </w:p>
    <w:p w14:paraId="386EC0A7">
      <w:pPr>
        <w:spacing w:line="280" w:lineRule="exact"/>
        <w:ind w:right="540" w:rightChars="257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   年     月     日</w:t>
      </w:r>
    </w:p>
    <w:p w14:paraId="3F1FE367">
      <w:pPr>
        <w:spacing w:line="400" w:lineRule="exact"/>
        <w:rPr>
          <w:rFonts w:ascii="宋体" w:hAnsi="宋体" w:cs="宋体"/>
          <w:sz w:val="24"/>
        </w:rPr>
      </w:pPr>
    </w:p>
    <w:p w14:paraId="661B2F77">
      <w:pPr>
        <w:spacing w:line="400" w:lineRule="exact"/>
        <w:ind w:left="600" w:leftChars="57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注：1、磋商文件要求：供应商必须将磋商文件中第三章3.2.2服务要求相关内容和标准要求事项列入此表。</w:t>
      </w:r>
    </w:p>
    <w:p w14:paraId="1932CEFB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2、磋商响应文件的应答：按照磋商文件服务要求的顺序对应填写。</w:t>
      </w:r>
    </w:p>
    <w:p w14:paraId="4E87727B">
      <w:pPr>
        <w:ind w:firstLine="480" w:firstLineChars="200"/>
      </w:pPr>
      <w:r>
        <w:rPr>
          <w:rFonts w:hint="eastAsia" w:ascii="宋体" w:hAnsi="宋体" w:cs="宋体"/>
          <w:sz w:val="24"/>
        </w:rPr>
        <w:t>3、供应商必须据实填写，不得虚假填写，否则将取消其磋商或成交资格。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8089C"/>
    <w:rsid w:val="27C6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sz w:val="28"/>
    </w:rPr>
  </w:style>
  <w:style w:type="paragraph" w:styleId="6">
    <w:name w:val="Normal Indent"/>
    <w:basedOn w:val="1"/>
    <w:qFormat/>
    <w:uiPriority w:val="0"/>
    <w:pPr>
      <w:spacing w:line="300" w:lineRule="auto"/>
      <w:ind w:firstLine="200" w:firstLineChars="20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865</Characters>
  <Lines>0</Lines>
  <Paragraphs>0</Paragraphs>
  <TotalTime>0</TotalTime>
  <ScaleCrop>false</ScaleCrop>
  <LinksUpToDate>false</LinksUpToDate>
  <CharactersWithSpaces>935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2025-08-15T10:40:00Z</dcterms:created>
  <dc:creator>Administrator</dc:creator>
  <cp:lastModifiedBy>华夏国际-招标部</cp:lastModifiedBy>
  <dcterms:modified xsi:type="dcterms:W3CDTF">2025-08-15T10:48:59Z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D180A44EF5FA413DA118B1092117BEF2_12</vt:lpwstr>
  </property>
</Properties>
</file>