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D2AC5">
      <w:pPr>
        <w:spacing w:after="120" w:line="240" w:lineRule="auto"/>
        <w:jc w:val="center"/>
        <w:rPr>
          <w:rFonts w:ascii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</w:rPr>
        <w:t>服务应答表（2包）</w:t>
      </w:r>
    </w:p>
    <w:p w14:paraId="1C3698D2">
      <w:pPr>
        <w:spacing w:line="48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项目名称：互联网信息工作</w:t>
      </w:r>
    </w:p>
    <w:p w14:paraId="68CA64EE">
      <w:pPr>
        <w:spacing w:after="120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项目编号：HXGJXM2025-ZC-CS1085</w:t>
      </w:r>
    </w:p>
    <w:tbl>
      <w:tblPr>
        <w:tblStyle w:val="7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33"/>
        <w:gridCol w:w="1312"/>
        <w:gridCol w:w="902"/>
      </w:tblGrid>
      <w:tr w14:paraId="55691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9" w:type="dxa"/>
            <w:vAlign w:val="center"/>
          </w:tcPr>
          <w:p w14:paraId="2BEC2D3D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47F26C6C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33" w:type="dxa"/>
            <w:vAlign w:val="center"/>
          </w:tcPr>
          <w:p w14:paraId="714A73FA">
            <w:pPr>
              <w:pStyle w:val="6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312" w:type="dxa"/>
            <w:vAlign w:val="center"/>
          </w:tcPr>
          <w:p w14:paraId="13C978DE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3C474E89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 w14:paraId="1D350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99" w:type="dxa"/>
            <w:vAlign w:val="center"/>
          </w:tcPr>
          <w:p w14:paraId="4BB0F17C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054B6B8B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互联网信息内容月报服务。依据当月涉雁塔区互联网数据做总结分析，分析数据需实现全网覆盖的要求。每年不少于12份。</w:t>
            </w:r>
          </w:p>
        </w:tc>
        <w:tc>
          <w:tcPr>
            <w:tcW w:w="2533" w:type="dxa"/>
            <w:vAlign w:val="top"/>
          </w:tcPr>
          <w:p w14:paraId="0A6F3C0B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312" w:type="dxa"/>
            <w:vAlign w:val="center"/>
          </w:tcPr>
          <w:p w14:paraId="5DD2D15B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827E100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26E05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470D585F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  <w:vAlign w:val="top"/>
          </w:tcPr>
          <w:p w14:paraId="79253A90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网络事件专项报告服务。针对辖区热点网络事件，完成网络数据梳理、传播趋势跟踪与专项报告撰写工作。</w:t>
            </w:r>
          </w:p>
        </w:tc>
        <w:tc>
          <w:tcPr>
            <w:tcW w:w="2533" w:type="dxa"/>
            <w:vAlign w:val="top"/>
          </w:tcPr>
          <w:p w14:paraId="5477203A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312" w:type="dxa"/>
            <w:vAlign w:val="center"/>
          </w:tcPr>
          <w:p w14:paraId="0C19AFC7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6F86FCC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75A8F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6415A337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357" w:type="dxa"/>
            <w:vAlign w:val="top"/>
          </w:tcPr>
          <w:p w14:paraId="32E95C78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网络事件复盘报告服务。根据工作要求，完成典型网络事件复盘分析报告。</w:t>
            </w:r>
          </w:p>
        </w:tc>
        <w:tc>
          <w:tcPr>
            <w:tcW w:w="2533" w:type="dxa"/>
            <w:vAlign w:val="top"/>
          </w:tcPr>
          <w:p w14:paraId="7EC0BC78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312" w:type="dxa"/>
            <w:vAlign w:val="center"/>
          </w:tcPr>
          <w:p w14:paraId="0E821EF6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3E1C3981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5B642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5B7AB6CD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357" w:type="dxa"/>
            <w:vAlign w:val="top"/>
          </w:tcPr>
          <w:p w14:paraId="05C86392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完成辖区网络生态治理工作的技术分析、专题研究与分析报告编写服务。</w:t>
            </w:r>
          </w:p>
        </w:tc>
        <w:tc>
          <w:tcPr>
            <w:tcW w:w="2533" w:type="dxa"/>
            <w:vAlign w:val="top"/>
          </w:tcPr>
          <w:p w14:paraId="59E6EF04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312" w:type="dxa"/>
            <w:vAlign w:val="center"/>
          </w:tcPr>
          <w:p w14:paraId="237E12DA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B2FCF86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14B1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317727B8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357" w:type="dxa"/>
            <w:vAlign w:val="top"/>
          </w:tcPr>
          <w:p w14:paraId="5F2003C4">
            <w:pPr>
              <w:pStyle w:val="9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其他国内热点互联网事件分析报告服务。根据工作要求，完成其他国内包含但不限于社会民生、公共安全、经济发展等热点领域的网络事件分析报告工作。</w:t>
            </w:r>
          </w:p>
        </w:tc>
        <w:tc>
          <w:tcPr>
            <w:tcW w:w="2533" w:type="dxa"/>
            <w:vAlign w:val="top"/>
          </w:tcPr>
          <w:p w14:paraId="75906556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both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312" w:type="dxa"/>
            <w:vAlign w:val="center"/>
          </w:tcPr>
          <w:p w14:paraId="4DA3FC64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6C975F4C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0E9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4A86B5C7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...</w:t>
            </w:r>
          </w:p>
        </w:tc>
        <w:tc>
          <w:tcPr>
            <w:tcW w:w="3357" w:type="dxa"/>
            <w:vAlign w:val="center"/>
          </w:tcPr>
          <w:p w14:paraId="53A609E5">
            <w:pPr>
              <w:pStyle w:val="6"/>
              <w:tabs>
                <w:tab w:val="left" w:pos="6880"/>
              </w:tabs>
              <w:spacing w:line="240" w:lineRule="auto"/>
              <w:ind w:firstLine="0" w:firstLineChars="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...</w:t>
            </w:r>
          </w:p>
        </w:tc>
        <w:tc>
          <w:tcPr>
            <w:tcW w:w="2533" w:type="dxa"/>
            <w:vAlign w:val="center"/>
          </w:tcPr>
          <w:p w14:paraId="10671FFF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6FC665AD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7962399B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bookmarkEnd w:id="0"/>
    </w:tbl>
    <w:p w14:paraId="47F5105A">
      <w:pPr>
        <w:spacing w:after="120"/>
        <w:ind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</w:t>
      </w:r>
    </w:p>
    <w:p w14:paraId="6C6C28A7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</w:p>
    <w:p w14:paraId="485DDB8F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（加盖单位公章）      </w:t>
      </w:r>
    </w:p>
    <w:p w14:paraId="5952A530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01ABB573">
      <w:pPr>
        <w:spacing w:line="500" w:lineRule="exact"/>
        <w:ind w:firstLine="496" w:firstLineChars="200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15DFA3CC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651DF5B3">
      <w:pPr>
        <w:spacing w:line="280" w:lineRule="exact"/>
        <w:ind w:right="540" w:rightChars="257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   年     月     日</w:t>
      </w:r>
    </w:p>
    <w:p w14:paraId="5EBA1334">
      <w:pPr>
        <w:spacing w:line="400" w:lineRule="exact"/>
        <w:rPr>
          <w:rFonts w:ascii="宋体" w:hAnsi="宋体" w:cs="宋体"/>
          <w:sz w:val="24"/>
        </w:rPr>
      </w:pPr>
    </w:p>
    <w:p w14:paraId="3C2EB219">
      <w:pPr>
        <w:spacing w:line="400" w:lineRule="exact"/>
        <w:ind w:left="600" w:leftChars="57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注：1、磋商文件要求：供应商必须将磋商文件中第三章3.2.2服务要求相关内容和标准要求事项列入此表。</w:t>
      </w:r>
    </w:p>
    <w:p w14:paraId="0EDAC658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2、磋商响应文件的应答：按照磋商文件服务要求的顺序对应填写。</w:t>
      </w:r>
    </w:p>
    <w:p w14:paraId="30F36C33">
      <w:pPr>
        <w:ind w:firstLine="480" w:firstLineChars="200"/>
      </w:pPr>
      <w:r>
        <w:rPr>
          <w:rFonts w:hint="eastAsia" w:ascii="宋体" w:hAnsi="宋体" w:cs="宋体"/>
          <w:sz w:val="24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0A2FD6"/>
    <w:rsid w:val="7049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Indent"/>
    <w:basedOn w:val="1"/>
    <w:qFormat/>
    <w:uiPriority w:val="0"/>
    <w:pPr>
      <w:spacing w:line="300" w:lineRule="auto"/>
      <w:ind w:firstLine="200" w:firstLineChars="20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507</Characters>
  <Lines>0</Lines>
  <Paragraphs>0</Paragraphs>
  <TotalTime>0</TotalTime>
  <ScaleCrop>false</ScaleCrop>
  <LinksUpToDate>false</LinksUpToDate>
  <CharactersWithSpaces>577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2025-08-15T10:40:00Z</dcterms:created>
  <dc:creator>Administrator</dc:creator>
  <cp:lastModifiedBy>华夏国际-招标部</cp:lastModifiedBy>
  <dcterms:modified xsi:type="dcterms:W3CDTF">2025-08-15T10:49:14Z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5471B97C515A45978DE9A8629695E140_12</vt:lpwstr>
  </property>
</Properties>
</file>