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版本号：HXGJXM2025-ZC-JT101020250822001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设备购置项目(二次)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HXGJXM2025-ZC-JT1010</w:t>
      </w:r>
      <w:r>
        <w:br/>
      </w:r>
      <w:r>
        <w:br/>
      </w:r>
      <w:r>
        <w:br/>
      </w:r>
    </w:p>
    <w:p>
      <w:pPr>
        <w:pStyle w:val="null3"/>
        <w:jc w:val="center"/>
        <w:outlineLvl w:val="2"/>
      </w:pPr>
      <w:r>
        <w:rPr>
          <w:rFonts w:ascii="仿宋_GB2312" w:hAnsi="仿宋_GB2312" w:cs="仿宋_GB2312" w:eastAsia="仿宋_GB2312"/>
          <w:sz w:val="28"/>
          <w:b/>
        </w:rPr>
        <w:t>西安市雁塔区第二中学</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西安市雁塔区第二中学</w:t>
      </w:r>
      <w:r>
        <w:rPr>
          <w:rFonts w:ascii="仿宋_GB2312" w:hAnsi="仿宋_GB2312" w:cs="仿宋_GB2312" w:eastAsia="仿宋_GB2312"/>
        </w:rPr>
        <w:t>委托，拟对</w:t>
      </w:r>
      <w:r>
        <w:rPr>
          <w:rFonts w:ascii="仿宋_GB2312" w:hAnsi="仿宋_GB2312" w:cs="仿宋_GB2312" w:eastAsia="仿宋_GB2312"/>
        </w:rPr>
        <w:t>设备购置项目(二次)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HXGJXM2025-ZC-JT1010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设备购置项目(二次)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西安市雁塔区第二中学设备购置项目，共分为两个采购包，采购包1：监控系统采购；采购包2：初高中书籍采购。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3、联合体：本项目不接受联合体谈判。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授权书（附法定代表人、被授权人身份证复印件；法定代表人直接参加谈判，须提供法定代表人身份证明)（注：被授权人需提供谈判截止日前一年内已缴存的至少一个月的社会保障资金凭证）。</w:t>
      </w:r>
    </w:p>
    <w:p>
      <w:pPr>
        <w:pStyle w:val="null3"/>
      </w:pPr>
      <w:r>
        <w:rPr>
          <w:rFonts w:ascii="仿宋_GB2312" w:hAnsi="仿宋_GB2312" w:cs="仿宋_GB2312" w:eastAsia="仿宋_GB2312"/>
        </w:rPr>
        <w:t>2、资质证书：具有中华人民共和国出版物经营许可证。</w:t>
      </w:r>
    </w:p>
    <w:p>
      <w:pPr>
        <w:pStyle w:val="null3"/>
      </w:pPr>
      <w:r>
        <w:rPr>
          <w:rFonts w:ascii="仿宋_GB2312" w:hAnsi="仿宋_GB2312" w:cs="仿宋_GB2312" w:eastAsia="仿宋_GB2312"/>
        </w:rPr>
        <w:t>3、信用记录：供应商未被“信用中国”网站（www.creditchina.gov.cn）列入失信被执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西安市雁塔区第二中学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西安市雁塔区西沣四路与沈家桥二路口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029-81166903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西安市莲湖区南二环西段202号九座花园东区1605室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王攀宏、雷鸣、康敏茹、张艳萍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采购包1：122,000.00元</w:t>
            </w:r>
          </w:p>
          <w:p>
            <w:pPr>
              <w:pStyle w:val="null3"/>
            </w:pPr>
            <w:r>
              <w:rPr>
                <w:rFonts w:ascii="仿宋_GB2312" w:hAnsi="仿宋_GB2312" w:cs="仿宋_GB2312" w:eastAsia="仿宋_GB2312"/>
              </w:rPr>
              <w:t>采购包2：260,000.00元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西安市雁塔区第二中学</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西安市雁塔区第二中学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西安市雁塔区第二中学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华夏国际项目管理（西安）有限公司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1、验收分初次开箱验收和学校最终验收两个阶段，以最终验收为准。2、货物到货后，甲、乙双方共同开箱验收。在检查货物书名、出版社、数量等。</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联系人：王攀宏、雷鸣、康敏茹、张艳萍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地址：西安市莲湖区南二环西段202号九座花园东区1605室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西安市雁塔区第二中学设备购置项目，共分为三个采购包，采购包1：监控系统采购；采购包2：AI智慧教室及AI录播教室、校园操场音视频、IP网络音箱及集控管理平台等采购；采购包3：初高中书籍采购。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122,000.00</w:t>
      </w:r>
    </w:p>
    <w:p>
      <w:pPr>
        <w:pStyle w:val="null3"/>
      </w:pPr>
      <w:r>
        <w:rPr>
          <w:rFonts w:ascii="仿宋_GB2312" w:hAnsi="仿宋_GB2312" w:cs="仿宋_GB2312" w:eastAsia="仿宋_GB2312"/>
        </w:rPr>
        <w:t>采购包最高限价（元）: 122,000.00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监控系统采购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122,000.00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260,000.00</w:t>
      </w:r>
    </w:p>
    <w:p>
      <w:pPr>
        <w:pStyle w:val="null3"/>
      </w:pPr>
      <w:r>
        <w:rPr>
          <w:rFonts w:ascii="仿宋_GB2312" w:hAnsi="仿宋_GB2312" w:cs="仿宋_GB2312" w:eastAsia="仿宋_GB2312"/>
        </w:rPr>
        <w:t>采购包最高限价（元）: 260,000.00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初高中书籍采购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标的名称：监控系统采购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9"/>
              <w:gridCol w:w="314"/>
              <w:gridCol w:w="1390"/>
              <w:gridCol w:w="199"/>
              <w:gridCol w:w="199"/>
              <w:gridCol w:w="252"/>
            </w:tblGrid>
            <w:tr>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名称</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参数</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1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备注</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400万网络半球摄像机</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1.支持补光灯类型：智能补光，可切换白光灯、红外灯补光距离：红外光≥30 m，白光≥20 m</w:t>
                  </w:r>
                  <w:r>
                    <w:br/>
                  </w:r>
                  <w:r>
                    <w:rPr>
                      <w:rFonts w:ascii="仿宋_GB2312" w:hAnsi="仿宋_GB2312" w:cs="仿宋_GB2312" w:eastAsia="仿宋_GB2312"/>
                      <w:sz w:val="21"/>
                    </w:rPr>
                    <w:t>2.支持防补光过曝。</w:t>
                  </w:r>
                  <w:r>
                    <w:br/>
                  </w:r>
                  <w:r>
                    <w:rPr>
                      <w:rFonts w:ascii="仿宋_GB2312" w:hAnsi="仿宋_GB2312" w:cs="仿宋_GB2312" w:eastAsia="仿宋_GB2312"/>
                      <w:sz w:val="21"/>
                    </w:rPr>
                    <w:t>3.工作温湿度：-30 ℃~60 ℃，湿度≤95%（无凝结）</w:t>
                  </w:r>
                  <w:r>
                    <w:br/>
                  </w:r>
                  <w:r>
                    <w:rPr>
                      <w:rFonts w:ascii="仿宋_GB2312" w:hAnsi="仿宋_GB2312" w:cs="仿宋_GB2312" w:eastAsia="仿宋_GB2312"/>
                      <w:sz w:val="21"/>
                    </w:rPr>
                    <w:t>4.支持背光补偿，强光抑制，3D数字降噪，120 dB宽动态，适应不同环境</w:t>
                  </w:r>
                  <w:r>
                    <w:br/>
                  </w:r>
                  <w:r>
                    <w:rPr>
                      <w:rFonts w:ascii="仿宋_GB2312" w:hAnsi="仿宋_GB2312" w:cs="仿宋_GB2312" w:eastAsia="仿宋_GB2312"/>
                      <w:sz w:val="21"/>
                    </w:rPr>
                    <w:t>5.最大分辨率≥2560 ×1440</w:t>
                  </w:r>
                  <w:r>
                    <w:br/>
                  </w:r>
                  <w:r>
                    <w:rPr>
                      <w:rFonts w:ascii="仿宋_GB2312" w:hAnsi="仿宋_GB2312" w:cs="仿宋_GB2312" w:eastAsia="仿宋_GB2312"/>
                      <w:sz w:val="21"/>
                    </w:rPr>
                    <w:t>6.防护等级≥P66。</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w:t>
                  </w:r>
                  <w:r>
                    <w:rPr>
                      <w:rFonts w:ascii="仿宋_GB2312" w:hAnsi="仿宋_GB2312" w:cs="仿宋_GB2312" w:eastAsia="仿宋_GB2312"/>
                      <w:sz w:val="21"/>
                    </w:rPr>
                    <w:t>网络半球（核心产品）</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1.在2560x1440@25fps下，码率设定为2Mbps，清晰度≤1400TVL。</w:t>
                  </w:r>
                  <w:r>
                    <w:br/>
                  </w:r>
                  <w:r>
                    <w:rPr>
                      <w:rFonts w:ascii="仿宋_GB2312" w:hAnsi="仿宋_GB2312" w:cs="仿宋_GB2312" w:eastAsia="仿宋_GB2312"/>
                      <w:sz w:val="21"/>
                    </w:rPr>
                    <w:t>2.最大图像尺寸≥2560 × 1440</w:t>
                  </w:r>
                  <w:r>
                    <w:br/>
                  </w:r>
                  <w:r>
                    <w:rPr>
                      <w:rFonts w:ascii="仿宋_GB2312" w:hAnsi="仿宋_GB2312" w:cs="仿宋_GB2312" w:eastAsia="仿宋_GB2312"/>
                      <w:sz w:val="21"/>
                    </w:rPr>
                    <w:t>3.网络：1个RJ45 10 M/100 M自适应以太网口</w:t>
                  </w:r>
                  <w:r>
                    <w:br/>
                  </w:r>
                  <w:r>
                    <w:rPr>
                      <w:rFonts w:ascii="仿宋_GB2312" w:hAnsi="仿宋_GB2312" w:cs="仿宋_GB2312" w:eastAsia="仿宋_GB2312"/>
                      <w:sz w:val="21"/>
                    </w:rPr>
                    <w:t>4.支持柔光灯补光，照射距离最远≥30m。</w:t>
                  </w:r>
                  <w:r>
                    <w:br/>
                  </w:r>
                  <w:r>
                    <w:rPr>
                      <w:rFonts w:ascii="仿宋_GB2312" w:hAnsi="仿宋_GB2312" w:cs="仿宋_GB2312" w:eastAsia="仿宋_GB2312"/>
                      <w:sz w:val="21"/>
                    </w:rPr>
                    <w:t>5.支持智能分析行为类型为移动侦测，报警目标设置为人形时，仅当检测场景中出现人形时触发报警，在设定区域内出现以下情况时，不触发报警：光线明暗变化、篮球滚动、狗行走、树摇晃、旗帜飘动、车辆。</w:t>
                  </w:r>
                  <w:r>
                    <w:br/>
                  </w:r>
                  <w:r>
                    <w:rPr>
                      <w:rFonts w:ascii="仿宋_GB2312" w:hAnsi="仿宋_GB2312" w:cs="仿宋_GB2312" w:eastAsia="仿宋_GB2312"/>
                      <w:sz w:val="21"/>
                    </w:rPr>
                    <w:t>6.防护等级≥IP67 。</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600万网络枪机</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600万白光全彩筒型网络摄像机</w:t>
                  </w:r>
                  <w:r>
                    <w:br/>
                  </w:r>
                  <w:r>
                    <w:rPr>
                      <w:rFonts w:ascii="仿宋_GB2312" w:hAnsi="仿宋_GB2312" w:cs="仿宋_GB2312" w:eastAsia="仿宋_GB2312"/>
                      <w:sz w:val="21"/>
                    </w:rPr>
                    <w:t>1、支持越界侦测，区域入侵侦测</w:t>
                  </w:r>
                  <w:r>
                    <w:br/>
                  </w:r>
                  <w:r>
                    <w:rPr>
                      <w:rFonts w:ascii="仿宋_GB2312" w:hAnsi="仿宋_GB2312" w:cs="仿宋_GB2312" w:eastAsia="仿宋_GB2312"/>
                      <w:sz w:val="21"/>
                    </w:rPr>
                    <w:t>2、支持背光补偿，强光抑制，3D数字降噪，120 dB宽动态</w:t>
                  </w:r>
                  <w:r>
                    <w:br/>
                  </w:r>
                  <w:r>
                    <w:rPr>
                      <w:rFonts w:ascii="仿宋_GB2312" w:hAnsi="仿宋_GB2312" w:cs="仿宋_GB2312" w:eastAsia="仿宋_GB2312"/>
                      <w:sz w:val="21"/>
                    </w:rPr>
                    <w:t>3、支持1个RJ45 10 M/100 M自适应以太网口，1个内置麦克风</w:t>
                  </w:r>
                  <w:r>
                    <w:br/>
                  </w:r>
                  <w:r>
                    <w:rPr>
                      <w:rFonts w:ascii="仿宋_GB2312" w:hAnsi="仿宋_GB2312" w:cs="仿宋_GB2312" w:eastAsia="仿宋_GB2312"/>
                      <w:sz w:val="21"/>
                    </w:rPr>
                    <w:t>4、支持白光/红外双补光，红外光最远可达50 m，白光最远可达30 m</w:t>
                  </w:r>
                  <w:r>
                    <w:br/>
                  </w:r>
                  <w:r>
                    <w:rPr>
                      <w:rFonts w:ascii="仿宋_GB2312" w:hAnsi="仿宋_GB2312" w:cs="仿宋_GB2312" w:eastAsia="仿宋_GB2312"/>
                      <w:sz w:val="21"/>
                    </w:rPr>
                    <w:t>5、符合IP66防尘防水设计</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6寸球型网络摄像机（含电源）</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1.支持区域入侵侦测，越界侦测，进入区域侦测和离开区域侦测等智能侦测</w:t>
                  </w:r>
                  <w:r>
                    <w:br/>
                  </w:r>
                  <w:r>
                    <w:rPr>
                      <w:rFonts w:ascii="仿宋_GB2312" w:hAnsi="仿宋_GB2312" w:cs="仿宋_GB2312" w:eastAsia="仿宋_GB2312"/>
                      <w:sz w:val="21"/>
                    </w:rPr>
                    <w:t>2.支持1/2.8" 400万光学变焦镜头，采用高效补光阵列，低功耗，红外补光≥150 m，白光补光≥30 m</w:t>
                  </w:r>
                  <w:r>
                    <w:br/>
                  </w:r>
                  <w:r>
                    <w:rPr>
                      <w:rFonts w:ascii="仿宋_GB2312" w:hAnsi="仿宋_GB2312" w:cs="仿宋_GB2312" w:eastAsia="仿宋_GB2312"/>
                      <w:sz w:val="21"/>
                    </w:rPr>
                    <w:t>3.支持内置加热玻璃，有效除雾。</w:t>
                  </w:r>
                  <w:r>
                    <w:br/>
                  </w:r>
                  <w:r>
                    <w:rPr>
                      <w:rFonts w:ascii="仿宋_GB2312" w:hAnsi="仿宋_GB2312" w:cs="仿宋_GB2312" w:eastAsia="仿宋_GB2312"/>
                      <w:sz w:val="21"/>
                    </w:rPr>
                    <w:t>4.支持超低照度，0.005 Lux @F1.5（彩色），0.001 Lux @F1.5（黑白），0 Lux with IR</w:t>
                  </w:r>
                  <w:r>
                    <w:br/>
                  </w:r>
                  <w:r>
                    <w:rPr>
                      <w:rFonts w:ascii="仿宋_GB2312" w:hAnsi="仿宋_GB2312" w:cs="仿宋_GB2312" w:eastAsia="仿宋_GB2312"/>
                      <w:sz w:val="21"/>
                    </w:rPr>
                    <w:t>5.支持≥23倍光学变倍，≥16倍数字变倍</w:t>
                  </w:r>
                  <w:r>
                    <w:br/>
                  </w:r>
                  <w:r>
                    <w:rPr>
                      <w:rFonts w:ascii="仿宋_GB2312" w:hAnsi="仿宋_GB2312" w:cs="仿宋_GB2312" w:eastAsia="仿宋_GB2312"/>
                      <w:sz w:val="21"/>
                    </w:rPr>
                    <w:t>6.最低照度：彩色≤0.005Lux ；黑白≤0.001Lux</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半球</w:t>
                  </w:r>
                </w:p>
                <w:p>
                  <w:pPr>
                    <w:pStyle w:val="null3"/>
                    <w:jc w:val="center"/>
                  </w:pPr>
                  <w:r>
                    <w:rPr>
                      <w:rFonts w:ascii="仿宋_GB2312" w:hAnsi="仿宋_GB2312" w:cs="仿宋_GB2312" w:eastAsia="仿宋_GB2312"/>
                      <w:sz w:val="21"/>
                    </w:rPr>
                    <w:t>支架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枪机</w:t>
                  </w:r>
                </w:p>
                <w:p>
                  <w:pPr>
                    <w:pStyle w:val="null3"/>
                    <w:jc w:val="center"/>
                  </w:pPr>
                  <w:r>
                    <w:rPr>
                      <w:rFonts w:ascii="仿宋_GB2312" w:hAnsi="仿宋_GB2312" w:cs="仿宋_GB2312" w:eastAsia="仿宋_GB2312"/>
                      <w:sz w:val="21"/>
                    </w:rPr>
                    <w:t>支架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球机加长支架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球机立杆横臂支架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8口poe交换机</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 提供8个千兆PoE电口，1个千兆电口， 1个千兆光口</w:t>
                  </w:r>
                  <w:r>
                    <w:br/>
                  </w:r>
                  <w:r>
                    <w:rPr>
                      <w:rFonts w:ascii="仿宋_GB2312" w:hAnsi="仿宋_GB2312" w:cs="仿宋_GB2312" w:eastAsia="仿宋_GB2312"/>
                      <w:sz w:val="21"/>
                    </w:rPr>
                    <w:t>2、 支持IEEE 802.3af/at</w:t>
                  </w:r>
                  <w:r>
                    <w:br/>
                  </w:r>
                  <w:r>
                    <w:rPr>
                      <w:rFonts w:ascii="仿宋_GB2312" w:hAnsi="仿宋_GB2312" w:cs="仿宋_GB2312" w:eastAsia="仿宋_GB2312"/>
                      <w:sz w:val="21"/>
                    </w:rPr>
                    <w:t>3、支持6 kV防浪涌</w:t>
                  </w:r>
                  <w:r>
                    <w:br/>
                  </w:r>
                  <w:r>
                    <w:rPr>
                      <w:rFonts w:ascii="仿宋_GB2312" w:hAnsi="仿宋_GB2312" w:cs="仿宋_GB2312" w:eastAsia="仿宋_GB2312"/>
                      <w:sz w:val="21"/>
                    </w:rPr>
                    <w:t>4、支持PoE输出功率管理</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64路硬盘录像机（核心产品）</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1.存储接口≥16个SATA接口，支持硬盘热插拔，可满配≥20TB硬盘</w:t>
                  </w:r>
                  <w:r>
                    <w:br/>
                  </w:r>
                  <w:r>
                    <w:rPr>
                      <w:rFonts w:ascii="仿宋_GB2312" w:hAnsi="仿宋_GB2312" w:cs="仿宋_GB2312" w:eastAsia="仿宋_GB2312"/>
                      <w:sz w:val="21"/>
                    </w:rPr>
                    <w:t>2.视频接口≥2×HDMI，2×VGA</w:t>
                  </w:r>
                  <w:r>
                    <w:br/>
                  </w:r>
                  <w:r>
                    <w:rPr>
                      <w:rFonts w:ascii="仿宋_GB2312" w:hAnsi="仿宋_GB2312" w:cs="仿宋_GB2312" w:eastAsia="仿宋_GB2312"/>
                      <w:sz w:val="21"/>
                    </w:rPr>
                    <w:t>4.网络接口≥2×RJ45 10/100/1000Mbps自适应以太网口</w:t>
                  </w:r>
                  <w:r>
                    <w:br/>
                  </w:r>
                  <w:r>
                    <w:rPr>
                      <w:rFonts w:ascii="仿宋_GB2312" w:hAnsi="仿宋_GB2312" w:cs="仿宋_GB2312" w:eastAsia="仿宋_GB2312"/>
                      <w:sz w:val="21"/>
                    </w:rPr>
                    <w:t>5.报警接口≥16路报警输入，9路报警输出</w:t>
                  </w:r>
                </w:p>
                <w:p>
                  <w:pPr>
                    <w:pStyle w:val="null3"/>
                    <w:jc w:val="left"/>
                  </w:pPr>
                  <w:r>
                    <w:rPr>
                      <w:rFonts w:ascii="仿宋_GB2312" w:hAnsi="仿宋_GB2312" w:cs="仿宋_GB2312" w:eastAsia="仿宋_GB2312"/>
                      <w:sz w:val="21"/>
                    </w:rPr>
                    <w:t>6.反向供电：1路DC12V 1A</w:t>
                  </w:r>
                  <w:r>
                    <w:br/>
                  </w:r>
                  <w:r>
                    <w:rPr>
                      <w:rFonts w:ascii="仿宋_GB2312" w:hAnsi="仿宋_GB2312" w:cs="仿宋_GB2312" w:eastAsia="仿宋_GB2312"/>
                      <w:sz w:val="21"/>
                    </w:rPr>
                    <w:t>7.USB接口≥2×USB 2.0，2×USB 3.0</w:t>
                  </w:r>
                  <w:r>
                    <w:br/>
                  </w:r>
                  <w:r>
                    <w:rPr>
                      <w:rFonts w:ascii="仿宋_GB2312" w:hAnsi="仿宋_GB2312" w:cs="仿宋_GB2312" w:eastAsia="仿宋_GB2312"/>
                      <w:sz w:val="21"/>
                    </w:rPr>
                    <w:t>8.支持目标抓拍、比对报警；支持以图搜图、按姓名检索、按属性检索</w:t>
                  </w:r>
                  <w:r>
                    <w:br/>
                  </w:r>
                  <w:r>
                    <w:rPr>
                      <w:rFonts w:ascii="仿宋_GB2312" w:hAnsi="仿宋_GB2312" w:cs="仿宋_GB2312" w:eastAsia="仿宋_GB2312"/>
                      <w:sz w:val="21"/>
                    </w:rPr>
                    <w:t>9.支持查看在线用户信息，包括用户名、用户类型、IP地址和用户最后操作时间等维护信息。</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存储不低于</w:t>
                  </w:r>
                  <w:r>
                    <w:rPr>
                      <w:rFonts w:ascii="仿宋_GB2312" w:hAnsi="仿宋_GB2312" w:cs="仿宋_GB2312" w:eastAsia="仿宋_GB2312"/>
                      <w:sz w:val="21"/>
                    </w:rPr>
                    <w:t>60天</w:t>
                  </w: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10T硬盘</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监控系统专用盘</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252"/>
                  <w:vMerge/>
                  <w:tcBorders>
                    <w:top w:val="none" w:color="000000" w:sz="4"/>
                    <w:left w:val="none" w:color="000000" w:sz="4"/>
                    <w:bottom w:val="single" w:color="000000" w:sz="4"/>
                    <w:right w:val="single" w:color="000000" w:sz="4"/>
                  </w:tcBorders>
                </w:tc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16口千兆机架式交换机</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1、16个千兆电口</w:t>
                  </w:r>
                  <w:r>
                    <w:br/>
                  </w:r>
                  <w:r>
                    <w:rPr>
                      <w:rFonts w:ascii="仿宋_GB2312" w:hAnsi="仿宋_GB2312" w:cs="仿宋_GB2312" w:eastAsia="仿宋_GB2312"/>
                      <w:sz w:val="21"/>
                    </w:rPr>
                    <w:t>2、机架式设计</w:t>
                  </w:r>
                  <w:r>
                    <w:br/>
                  </w:r>
                  <w:r>
                    <w:rPr>
                      <w:rFonts w:ascii="仿宋_GB2312" w:hAnsi="仿宋_GB2312" w:cs="仿宋_GB2312" w:eastAsia="仿宋_GB2312"/>
                      <w:sz w:val="21"/>
                    </w:rPr>
                    <w:t>3、平行/交叉线自动识别</w:t>
                  </w:r>
                  <w:r>
                    <w:br/>
                  </w:r>
                  <w:r>
                    <w:rPr>
                      <w:rFonts w:ascii="仿宋_GB2312" w:hAnsi="仿宋_GB2312" w:cs="仿宋_GB2312" w:eastAsia="仿宋_GB2312"/>
                      <w:sz w:val="21"/>
                    </w:rPr>
                    <w:t>4、全双工流控和半双工背压控制</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国标</w:t>
                  </w:r>
                  <w:r>
                    <w:rPr>
                      <w:rFonts w:ascii="仿宋_GB2312" w:hAnsi="仿宋_GB2312" w:cs="仿宋_GB2312" w:eastAsia="仿宋_GB2312"/>
                      <w:sz w:val="21"/>
                    </w:rPr>
                    <w:t>6类网线</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1、支持千兆以太网信号传输</w:t>
                  </w:r>
                  <w:r>
                    <w:br/>
                  </w:r>
                  <w:r>
                    <w:rPr>
                      <w:rFonts w:ascii="仿宋_GB2312" w:hAnsi="仿宋_GB2312" w:cs="仿宋_GB2312" w:eastAsia="仿宋_GB2312"/>
                      <w:sz w:val="21"/>
                    </w:rPr>
                    <w:t>2、无氧铜芯</w:t>
                  </w:r>
                  <w:r>
                    <w:br/>
                  </w:r>
                  <w:r>
                    <w:rPr>
                      <w:rFonts w:ascii="仿宋_GB2312" w:hAnsi="仿宋_GB2312" w:cs="仿宋_GB2312" w:eastAsia="仿宋_GB2312"/>
                      <w:sz w:val="21"/>
                    </w:rPr>
                    <w:t>3、聚氯乙烯(PVC)阻燃护套</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箱</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室外防水箱</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300*400*200cm</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RVV2*1.5㎡</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卷</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r>
            <w:tr>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施工辅材</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线管、线卡、水晶头、螺丝、检修口等</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1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both"/>
                  </w:p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标的名称：初高中书籍采购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自合同签订之日起30日内完成全部项目内容，并确保验收合格并交付采购人。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自合同签订之日起30日内完成全部项目内容，并确保验收合格并交付采购人。</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全部货物到达采购人指定地点并安装验收合格后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3、甲方使用单位初验合格后提出验收申请，学校相关部门根据使用单位技术验收结果，组织有关专家进行货物的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1、验收分初次开箱验收和学校最终验收两个阶段，以最终验收为准。2、货物到货后，甲、乙双方共同开箱验收。在检查货物书名、出版社、数量等。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★1、项目质保期：验收合格后1年。 ★2、售后服务响应时间（质保期内）：即时响应（包括电话响应）；电话响应无法解决2小时内到达现场。修复时间2小时内解决；如在2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1、违约责任：依据《中华人民共和国民法典》、《中华人民共和国政府采购法》、《中华人民 共和国政府采购法实施条例》的相关条款和本合同约定，成交供应商未全面履行合同义务或者发生违约，采购单位会同采购代理机构有权终止合同，依法向成交供应商进行经济索赔，并报请政府采 购监督管理机关进行相应的行政处罚。采购单位违约的，应当赔偿给成交供应商造成的经济损失。2、解决争议的方法：合同执行中发生争议的，当事人双方应协商解决。协商达不成一致时，可依法向甲方所在地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2024年度经审计的已赋码且完整的财务报告；（成立时间至提交谈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谈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供应商需在项目电子化交易系统中按要求填写《投标函》完成承诺并提供以下资料：1.提供合格有效的法人或者其他组织的营业执照等证明文件，自然人的身份证明；供应商是法人或其他组织的应提供营业 执照等证明文件，供应商是自然人的应提供有效的自然人身份证明；2.财务状况证明：提供2024年度经审计的已赋码且完整的财务报告；（成立时间至提交谈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具有履行合同所必需的设备和专业技术能力的承诺；4.税收缴纳证明：提供递交响应文件截止之日前一年内任意一个月的依法缴纳税收的完税证明，完税证明应有税务机关或代收机关的公章或业务专用章。依法免税或无须缴纳税收的供应商，应提供相应证明文件；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相关资格证明资料.docx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谈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本项目非专门面向中小企业。</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法定代表人授权书（附法定代表人、被授权人身份证复印件；法定代表人直接参加谈判，须提供法定代表人身份证明)（注：被授权人需提供谈判截止日前一年内已缴存的至少一个月的社会保障资金凭证）。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具有中华人民共和国出版物经营许可证。</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 行人和重大税收违法失信主体，未被中国政府采购网（www.ccgp.gov.cn）列入政府采购严重违法失信行为记录名单；（资格审查环节查询相关 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相关资格证明资料.docx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相关资格证明资料.docx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谈判报价一览表.docx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分项报价表.docx 谈判报价一览表.docx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1.要求实质性条款全部响应，不能有采购人不能接受的附加条件。2.供应商必须响应并满足技术参数，出现负偏离或无响应的，视为无效文件。</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应满足谈判文件中要求的质保期</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谈判响应文件上法定代表人或其授权代表人的签字齐全并加盖公章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应符合“谈判响应文件格式”要求</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按谈判文件要求报价，不得提交选择性报价，且每轮报价不超过采购预算金额或最高限价。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供货服务方案.docx 报价表 供应商承诺书.docx 响应文件封面 相关资格证明资料.docx 分项报价表.docx 谈判报价一览表.docx 残疾人福利性单位声明函 节能环保、环境标志产品明细表（如有）.docx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对谈判文件响应程度</w:t>
            </w:r>
          </w:p>
        </w:tc>
        <w:tc>
          <w:tcPr>
            <w:tcW w:type="dxa" w:w="3322"/>
          </w:tcPr>
          <w:p>
            <w:pPr>
              <w:pStyle w:val="null3"/>
            </w:pPr>
            <w:r>
              <w:rPr>
                <w:rFonts w:ascii="仿宋_GB2312" w:hAnsi="仿宋_GB2312" w:cs="仿宋_GB2312" w:eastAsia="仿宋_GB2312"/>
              </w:rPr>
              <w:t>1.要求实质性条款全部响应，不能有采购人不能接受的附加条件。2.供应商必须响应并满足技术参数，出现负偏离或无响应的，视为无效文件。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应满足谈判文件中要求的交货时间</w:t>
            </w:r>
          </w:p>
        </w:tc>
        <w:tc>
          <w:tcPr>
            <w:tcW w:type="dxa" w:w="1661"/>
          </w:tcPr>
          <w:p>
            <w:pPr>
              <w:pStyle w:val="null3"/>
            </w:pPr>
            <w:r>
              <w:rPr>
                <w:rFonts w:ascii="仿宋_GB2312" w:hAnsi="仿宋_GB2312" w:cs="仿宋_GB2312" w:eastAsia="仿宋_GB2312"/>
              </w:rPr>
              <w:t>谈判报价一览表.docx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详见附件：节能环保、环境标志产品明细表（如有）.docx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详见附件：供货服务方案.docx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详见附件：相关资格证明资料.docx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详见附件：节能环保、环境标志产品明细表（如有）.docx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