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版本号：ZHZB2025-014-120250825001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雁塔区政务服务中心云呼叫项目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ZHZB2025-014-1</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中昊泰达咨询集团有限公司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中昊泰达咨询集团有限公司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雁塔区政务服务中心云呼叫项目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ZHZB2025-014-1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雁塔区政务服务中心云呼叫项目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政务服务中心云呼叫项目,构建内容包括管理后台、智能变量机器人、服务号码、语音通知服务、来电名片、接口开发项目部署等。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1、法定代表人授权委托书：法定代表人直接参加磋商的，须出具法定代表人身份证明书及身份证；法定代表人授权代表参加磋商的，须出具法定代表人授权委托书及授权代表身份证。</w:t>
      </w:r>
    </w:p>
    <w:p>
      <w:pPr>
        <w:pStyle w:val="null3"/>
      </w:pPr>
      <w:r>
        <w:rPr>
          <w:rFonts w:ascii="仿宋_GB2312" w:hAnsi="仿宋_GB2312" w:cs="仿宋_GB2312" w:eastAsia="仿宋_GB2312"/>
        </w:rPr>
        <w:t>2、供应商信誉要求：供应商不得为“中国执行信息公开网”（http://zxgk.court.gov.cn/shixin/）失信被执行人和“信用中国(www.creditchina.gov.cn)”中列入重大税收违法案件当事人名单的供应商，不得为“中国政府采购网(www.ccgp.gov.cn)”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中昊泰达咨询集团有限公司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西安市未央区未央路113号雅荷花园A18栋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张俊姣、郭雅楠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029-86686703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招标代理服务收费管理暂行办法》（计价格[2002]1980号）和国家发展改革委员会办公厅颁发的《关于招标代理服务收费有关问题的通知》（发改办价格[2003]857号）文件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中昊泰达咨询集团有限公司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中昊泰达咨询集团有限公司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中昊泰达咨询集团有限公司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满足采购人及磋商文件需求。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联系人：张俊姣、郭雅楠</w:t>
      </w:r>
    </w:p>
    <w:p>
      <w:pPr>
        <w:pStyle w:val="null3"/>
      </w:pPr>
      <w:r>
        <w:rPr>
          <w:rFonts w:ascii="仿宋_GB2312" w:hAnsi="仿宋_GB2312" w:cs="仿宋_GB2312" w:eastAsia="仿宋_GB2312"/>
        </w:rPr>
        <w:t>联系电话：029-86686703</w:t>
      </w:r>
    </w:p>
    <w:p>
      <w:pPr>
        <w:pStyle w:val="null3"/>
      </w:pPr>
      <w:r>
        <w:rPr>
          <w:rFonts w:ascii="仿宋_GB2312" w:hAnsi="仿宋_GB2312" w:cs="仿宋_GB2312" w:eastAsia="仿宋_GB2312"/>
        </w:rPr>
        <w:t>地址：西安市未央区未央路113号雅荷花园A18栋</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政务服务中心云呼叫项目,构建内容包括管理后台、智能变量机器人、服务号码、语音通知服务、来电名片、接口开发项目部署等。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政务大厅静默叫号业务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标的名称：政务大厅静默叫号业务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4"/>
              <w:gridCol w:w="1645"/>
              <w:gridCol w:w="454"/>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描述</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管理后台</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IVR配置、座席管理、客户管理、知识库、全局监控、通话录音、数据报表、工单系统等平台管理功能</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智能变量机器人</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w:t>
                  </w:r>
                  <w:r>
                    <w:rPr>
                      <w:rFonts w:ascii="仿宋_GB2312" w:hAnsi="仿宋_GB2312" w:cs="仿宋_GB2312" w:eastAsia="仿宋_GB2312"/>
                      <w:sz w:val="24"/>
                      <w:color w:val="000000"/>
                    </w:rPr>
                    <w:t>2个智能变量机器人，包含2线语音通道可实现同时30线并发语音呼出</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服务号码</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40个呼出外显号码，避免通话高频屏蔽。</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40个</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语音通知服务</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根据语音通知数量匹配，一年需要约</w:t>
                  </w:r>
                  <w:r>
                    <w:rPr>
                      <w:rFonts w:ascii="仿宋_GB2312" w:hAnsi="仿宋_GB2312" w:cs="仿宋_GB2312" w:eastAsia="仿宋_GB2312"/>
                      <w:sz w:val="24"/>
                      <w:color w:val="000000"/>
                    </w:rPr>
                    <w:t>138万次的语音通知服务量</w:t>
                  </w:r>
                  <w:r>
                    <w:rPr>
                      <w:rFonts w:ascii="仿宋_GB2312" w:hAnsi="仿宋_GB2312" w:cs="仿宋_GB2312" w:eastAsia="仿宋_GB2312"/>
                      <w:sz w:val="19"/>
                    </w:rPr>
                    <w:t xml:space="preserve"> </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138万次</w:t>
                  </w:r>
                  <w:r>
                    <w:rPr>
                      <w:rFonts w:ascii="仿宋_GB2312" w:hAnsi="仿宋_GB2312" w:cs="仿宋_GB2312" w:eastAsia="仿宋_GB2312"/>
                      <w:sz w:val="19"/>
                    </w:rPr>
                    <w:t xml:space="preserve"> </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来电名片</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结合语音通知服务量，一年需要</w:t>
                  </w:r>
                  <w:r>
                    <w:rPr>
                      <w:rFonts w:ascii="仿宋_GB2312" w:hAnsi="仿宋_GB2312" w:cs="仿宋_GB2312" w:eastAsia="仿宋_GB2312"/>
                      <w:sz w:val="24"/>
                      <w:color w:val="000000"/>
                    </w:rPr>
                    <w:t>138万次来电名片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138万次</w:t>
                  </w:r>
                  <w:r>
                    <w:rPr>
                      <w:rFonts w:ascii="仿宋_GB2312" w:hAnsi="仿宋_GB2312" w:cs="仿宋_GB2312" w:eastAsia="仿宋_GB2312"/>
                      <w:sz w:val="19"/>
                    </w:rPr>
                    <w:t xml:space="preserve"> </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接口开发</w:t>
                  </w:r>
                </w:p>
                <w:p>
                  <w:pPr>
                    <w:pStyle w:val="null3"/>
                    <w:jc w:val="center"/>
                  </w:pPr>
                  <w:r>
                    <w:rPr>
                      <w:rFonts w:ascii="仿宋_GB2312" w:hAnsi="仿宋_GB2312" w:cs="仿宋_GB2312" w:eastAsia="仿宋_GB2312"/>
                      <w:sz w:val="24"/>
                      <w:b/>
                      <w:color w:val="000000"/>
                    </w:rPr>
                    <w:t>项目部署</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开发平台数据接口，实现叫号系统推送的变量数据进行对接。提供项目能力部署、软件、安装服务</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1.合同所有内容完成后，由乙方进行自检，合格后，准备验收文件，并书面通知甲方验收。甲方根据采购合同约定，对合同内容进行验收。 2.采购人确认供应商的自检工作后，组织供应商（必要时请有关专家）进行最终验收，验收合格后，填写项目验收单（一式伍份）作为对项目的最终认可。 3.供应商向甲方提交项目实施过程中的所有资料，以便采购人日后管理和维护。 4.验收依据：合同文本；国家有关的验收标准及规范；谈判文件；响应文件。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完成合同约定的服务内容并验收合格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交付的提供的服务不符合谈判文件、响应文件或本合同规定的，甲方有权拒收，并且乙方须向甲方支付本合同总价5%的违约金；经整改后仍不不符合谈判文件、响应文件或本合同规定的，甲方有权解除合同，乙方应退还甲方已支付的合同价款。 2.乙方未能按本合同规定的时间提供服务的，从逾期之日起每日按本合同总价0.5‰的数额向甲方支付违约金；逾期半个月以上的，甲方有权终止合同，并有权拒绝支付剩余50%款项，且由此造成的甲方经济损失由乙方承担。 3.甲方无正当理由拒接受服务，到期拒付服务款项的，甲方向乙方偿付本合同总拒绝金额5%的违约金。非因乙方原因造成的甲方逾期付款，则每日按本合同总价的0.5‰向乙方偿付违约金。 4.其它违约责任按《中华人民共和国民法典》处理。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1正2副），U盘2份（U盘需包括系统生成的全部已签章响应文件（PDF格式）、U盘标明供应商名称。）且提供的响应文件必须与在陕西省政府采购综合管理平台的项目电子化交易系统中提交的电子响应文件内容一致，纸质版响应文件必须装订成册签字盖章。2.成交供应商未按合同要求提供服务，采购人有权终止（或解除）合同，并对供应商违约行为进行追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为具有独立承担民事责任能力的法人或其他组织或自然人，并提供法人或者其他组织合法有效的统一社会信用代码的营业执照等证明文件，事业单位应提供事业单位法人证书，自然人应提供身份证明文件； 2）具有履行合同所必需的设备和专业技术能力（提供承诺函）；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响应文件截止时间不足一年的可提供成立后任意时段的资产负债表），或本年度基本开户银行出具的资信证明（附开户许可证或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响应有效期不少于性磋商文件要求，否则其响应文件按无效处理。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是否按照磋商文件要求的格式编写。响应文件的签署、加盖印章是否有效。</w:t>
            </w:r>
          </w:p>
        </w:tc>
        <w:tc>
          <w:tcPr>
            <w:tcW w:type="dxa" w:w="1661"/>
          </w:tcPr>
          <w:p>
            <w:pPr>
              <w:pStyle w:val="null3"/>
            </w:pPr>
            <w:r>
              <w:rPr>
                <w:rFonts w:ascii="仿宋_GB2312" w:hAnsi="仿宋_GB2312" w:cs="仿宋_GB2312" w:eastAsia="仿宋_GB2312"/>
              </w:rPr>
              <w:t>响应文件封面 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供应商对本项目服务内容及要求理解透彻，服务方案总体可行且科学、合理, 架构完整、层次清楚，满足磋商文件及国家有关政策和法律法规的要求。 1、服务方案内容全面详细，完全满足采购人需求并且能提供安全可靠的服务的，得（16-25］分；2、服务工作方案基本满足采购人需求的，得（8-16］分；服务方案不全面，缺乏可操作性的，得（0-8］分。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服务商的技术团队具备专业资质，能有效保证项目顺利实施及运维。 1、拟派项目经理同时具备具备信息系统项目管理师证书及系统分析师的计4分，缺一项不得分。 2、拟派技术负责人具备信息安全工程师及系统分析师的计4分，缺一项不得分。 3、拟派服务团队人员中至少具备（不含项目负责人和技术负责人）信息系统项目管理师，数据库工程师，系统分析师，注册信息安全CISP，PMP项目经理，软件设计师，每提供一个得1.5分，满分12分。 以上人员需提供相关证书及本单位社保或劳动合同，未提供的不得分。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供应商应具备较完善的应急保障措施，包含但不限于自有短信平台设备及网络故障、停电、系统瘫痪、通道发送速率提升、发送异常排查、报表功能需求等突发情况。 根据供应商所提供的应急保障方案进行评分；方案详细、全面（优）得（8-15]分，方案较详细、较全面（良）得（3-8]分，方案一般得（0-3]分，未提供或其他不得分。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信息安全管理方案</w:t>
            </w:r>
          </w:p>
        </w:tc>
        <w:tc>
          <w:tcPr>
            <w:tcW w:type="dxa" w:w="2492"/>
          </w:tcPr>
          <w:p>
            <w:pPr>
              <w:pStyle w:val="null3"/>
            </w:pPr>
            <w:r>
              <w:rPr>
                <w:rFonts w:ascii="仿宋_GB2312" w:hAnsi="仿宋_GB2312" w:cs="仿宋_GB2312" w:eastAsia="仿宋_GB2312"/>
              </w:rPr>
              <w:t>供应商应提供完善的信息安全管理方案，包含但不限于客户信息安全、发送内容信息安全、平台操作安全、平台系统安全等。 根据供应商所提供的信息安全管理方案进行评分；方案详细、全面（优）得（8-15]分，方案较详细、较全面（良）得（3-8]分，方案一般得（0-3]分，未提供或其他不得分。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具有本地化的售后服务的能力，有效保障本地化技术服务，并针对本次项目有详细、具体、可行的售后维护方案及措施。 1、售后服务方案详细、具体、可实施性强，完全满足采购人需求得（7-10］分； 2、有售后服务方案，但可实施性一般的，得（3-7］分；3、售后服务方案简单，内容空泛的，得（0-3］分。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自2022年1月1日起至响应截止日,每提供一份有效类似项目业绩合同得1分，最高得5分。注：须提供类似项目的合同或中标通知书的扫描件并加盖公章，时间以合同签订时间为准。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磋商基准价/最后磋商报价）×价格分值（注：满足磋商文件要求且磋商报价最低的磋商报价为磋商基准价。）最低报价不是中标的唯一依据。因落实政府采购政策进行价格调整的，以调整后的价格计算磋商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